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jc w:val="left"/>
        <w:rPr>
          <w:rFonts w:hint="eastAsia" w:ascii="Arial" w:hAnsi="Arial" w:eastAsia="宋体"/>
          <w:b/>
          <w:bCs/>
          <w:i/>
          <w:sz w:val="24"/>
          <w:szCs w:val="24"/>
          <w:lang w:val="en-US" w:eastAsia="zh-CN"/>
        </w:rPr>
      </w:pPr>
      <w:bookmarkStart w:id="0" w:name="_Hlk110460279"/>
      <w:r>
        <w:rPr>
          <w:rFonts w:ascii="Arial" w:hAnsi="Arial" w:eastAsia="Times New Roman" w:cs="Arial"/>
          <w:b/>
          <w:bCs/>
          <w:sz w:val="24"/>
          <w:szCs w:val="24"/>
          <w:lang w:val="en-GB" w:eastAsia="en-US"/>
        </w:rPr>
        <w:t xml:space="preserve">3GPP TSG-RAN </w:t>
      </w:r>
      <w:r>
        <w:rPr>
          <w:rFonts w:ascii="Arial" w:hAnsi="Arial" w:eastAsia="Times New Roman" w:cs="Arial"/>
          <w:b/>
          <w:sz w:val="24"/>
          <w:szCs w:val="24"/>
          <w:lang w:val="en-GB" w:eastAsia="en-US"/>
        </w:rPr>
        <w:t>WG2 Meeting</w:t>
      </w:r>
      <w:r>
        <w:rPr>
          <w:rFonts w:hint="eastAsia" w:ascii="Arial" w:hAnsi="Arial" w:eastAsia="Times New Roman" w:cs="Arial"/>
          <w:b/>
          <w:sz w:val="24"/>
          <w:szCs w:val="24"/>
          <w:lang w:val="en-GB" w:eastAsia="en-US"/>
        </w:rPr>
        <w:t xml:space="preserve"> #13</w:t>
      </w:r>
      <w:r>
        <w:rPr>
          <w:rFonts w:hint="eastAsia" w:ascii="Arial" w:hAnsi="Arial" w:eastAsia="宋体" w:cs="Arial"/>
          <w:b/>
          <w:sz w:val="24"/>
          <w:szCs w:val="24"/>
          <w:lang w:val="en-US" w:eastAsia="zh-CN"/>
        </w:rPr>
        <w:t>2</w:t>
      </w:r>
      <w:r>
        <w:rPr>
          <w:rFonts w:hint="eastAsia" w:ascii="Arial" w:hAnsi="Arial" w:eastAsia="宋体" w:cs="Arial"/>
          <w:b/>
          <w:sz w:val="24"/>
          <w:szCs w:val="24"/>
        </w:rPr>
        <w:t xml:space="preserve">                          </w:t>
      </w:r>
      <w:r>
        <w:rPr>
          <w:rFonts w:hint="eastAsia" w:ascii="Arial" w:hAnsi="Arial" w:eastAsia="宋体" w:cs="Arial"/>
          <w:b/>
          <w:sz w:val="24"/>
          <w:szCs w:val="24"/>
          <w:lang w:val="en-US" w:eastAsia="zh-CN"/>
        </w:rPr>
        <w:t xml:space="preserve">     </w:t>
      </w:r>
      <w:r>
        <w:rPr>
          <w:rFonts w:hint="eastAsia" w:ascii="Arial" w:hAnsi="Arial" w:eastAsia="宋体"/>
          <w:b/>
          <w:bCs/>
          <w:sz w:val="24"/>
          <w:szCs w:val="24"/>
          <w:lang w:val="en-US" w:eastAsia="zh-CN"/>
        </w:rPr>
        <w:t>R2-2508494</w:t>
      </w:r>
    </w:p>
    <w:p>
      <w:pPr>
        <w:pStyle w:val="60"/>
        <w:tabs>
          <w:tab w:val="left" w:pos="1701"/>
          <w:tab w:val="right" w:pos="9923"/>
          <w:tab w:val="clear" w:pos="4536"/>
          <w:tab w:val="clear" w:pos="9072"/>
        </w:tabs>
        <w:rPr>
          <w:sz w:val="24"/>
          <w:szCs w:val="36"/>
          <w:lang w:val="en-US"/>
        </w:rPr>
      </w:pPr>
      <w:r>
        <w:rPr>
          <w:sz w:val="24"/>
          <w:szCs w:val="36"/>
          <w:lang w:val="en-US"/>
        </w:rPr>
        <w:t>Dallas, USA, Nov. 17</w:t>
      </w:r>
      <w:r>
        <w:rPr>
          <w:sz w:val="24"/>
          <w:szCs w:val="36"/>
          <w:vertAlign w:val="superscript"/>
          <w:lang w:val="en-US"/>
        </w:rPr>
        <w:t>th</w:t>
      </w:r>
      <w:r>
        <w:rPr>
          <w:sz w:val="24"/>
          <w:szCs w:val="36"/>
          <w:lang w:val="en-US"/>
        </w:rPr>
        <w:t>-21</w:t>
      </w:r>
      <w:r>
        <w:rPr>
          <w:sz w:val="24"/>
          <w:szCs w:val="36"/>
          <w:vertAlign w:val="superscript"/>
          <w:lang w:val="en-US"/>
        </w:rPr>
        <w:t>st</w:t>
      </w:r>
      <w:r>
        <w:rPr>
          <w:sz w:val="24"/>
          <w:szCs w:val="36"/>
          <w:lang w:val="en-US"/>
        </w:rPr>
        <w:t xml:space="preserve">  </w:t>
      </w:r>
    </w:p>
    <w:p>
      <w:pPr>
        <w:pStyle w:val="60"/>
        <w:tabs>
          <w:tab w:val="left" w:pos="1701"/>
          <w:tab w:val="right" w:pos="9923"/>
          <w:tab w:val="clear" w:pos="4536"/>
          <w:tab w:val="clear" w:pos="9072"/>
        </w:tabs>
        <w:rPr>
          <w:sz w:val="24"/>
          <w:szCs w:val="36"/>
        </w:rPr>
      </w:pP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1" w:hanging="1792" w:hangingChars="814"/>
        <w:jc w:val="left"/>
        <w:rPr>
          <w:rFonts w:ascii="Arial" w:hAnsi="Arial" w:eastAsia="宋体" w:cs="Arial"/>
          <w:b/>
          <w:kern w:val="0"/>
          <w:sz w:val="22"/>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OLE_LINK15"/>
      <w:bookmarkStart w:id="3" w:name="_Hlk135042323"/>
      <w:r>
        <w:rPr>
          <w:rFonts w:hint="eastAsia" w:ascii="Arial" w:hAnsi="Arial" w:eastAsia="MS Mincho" w:cs="Arial"/>
          <w:b/>
          <w:kern w:val="0"/>
          <w:sz w:val="22"/>
          <w:lang w:eastAsia="en-US"/>
        </w:rPr>
        <w:t xml:space="preserve">Discussion on Topology 2 </w:t>
      </w:r>
    </w:p>
    <w:bookmarkEnd w:id="2"/>
    <w:bookmarkEnd w:id="3"/>
    <w:p>
      <w:pPr>
        <w:widowControl/>
        <w:tabs>
          <w:tab w:val="left" w:pos="1800"/>
          <w:tab w:val="center" w:pos="4536"/>
          <w:tab w:val="right" w:pos="9072"/>
        </w:tabs>
        <w:jc w:val="left"/>
        <w:rPr>
          <w:rFonts w:hint="default" w:ascii="Arial" w:hAnsi="Arial" w:eastAsia="宋体" w:cs="Times New Roman"/>
          <w:b/>
          <w:kern w:val="0"/>
          <w:sz w:val="22"/>
          <w:highlight w:val="cyan"/>
          <w:lang w:val="en-US" w:eastAsia="zh-CN"/>
        </w:rPr>
      </w:pPr>
      <w:r>
        <w:rPr>
          <w:rFonts w:ascii="Arial" w:hAnsi="Arial" w:eastAsia="MS Mincho" w:cs="Arial"/>
          <w:b/>
          <w:kern w:val="0"/>
          <w:sz w:val="22"/>
          <w:lang w:eastAsia="en-US"/>
        </w:rPr>
        <w:t>Agenda Item:</w:t>
      </w:r>
      <w:bookmarkStart w:id="4" w:name="Source"/>
      <w:bookmarkEnd w:id="4"/>
      <w:r>
        <w:rPr>
          <w:rFonts w:ascii="Arial" w:hAnsi="Arial" w:eastAsia="MS Mincho" w:cs="Arial"/>
          <w:b/>
          <w:kern w:val="0"/>
          <w:sz w:val="22"/>
          <w:lang w:eastAsia="en-US"/>
        </w:rPr>
        <w:tab/>
      </w:r>
      <w:r>
        <w:rPr>
          <w:rFonts w:hint="eastAsia" w:ascii="Arial" w:hAnsi="Arial" w:eastAsia="宋体" w:cs="Arial"/>
          <w:b/>
          <w:kern w:val="0"/>
          <w:sz w:val="22"/>
          <w:highlight w:val="none"/>
          <w:lang w:val="en-US" w:eastAsia="zh-CN"/>
        </w:rPr>
        <w:t>9.2.2</w:t>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0"/>
        </w:numPr>
        <w:pBdr>
          <w:top w:val="single" w:color="auto" w:sz="12" w:space="3"/>
        </w:pBdr>
        <w:overflowPunct w:val="0"/>
        <w:autoSpaceDE w:val="0"/>
        <w:autoSpaceDN w:val="0"/>
        <w:adjustRightInd w:val="0"/>
        <w:spacing w:before="240" w:after="180"/>
        <w:ind w:left="425" w:leftChars="0" w:hanging="425" w:firstLineChars="0"/>
        <w:jc w:val="left"/>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eastAsia="zh-CN" w:bidi="ar-SA"/>
        </w:rPr>
        <w:t>1.</w:t>
      </w:r>
      <w:r>
        <w:rPr>
          <w:rFonts w:hint="eastAsia" w:ascii="Arial" w:hAnsi="Arial" w:eastAsia="宋体" w:cs="Times New Roman"/>
          <w:kern w:val="0"/>
          <w:sz w:val="36"/>
          <w:szCs w:val="20"/>
          <w:lang w:val="en-GB" w:eastAsia="en-GB"/>
        </w:rPr>
        <w:t>Introduction</w:t>
      </w:r>
    </w:p>
    <w:p>
      <w:pPr>
        <w:keepNext w:val="0"/>
        <w:keepLines w:val="0"/>
        <w:pageBreakBefore w:val="0"/>
        <w:widowControl/>
        <w:kinsoku/>
        <w:wordWrap/>
        <w:overflowPunct/>
        <w:topLinePunct w:val="0"/>
        <w:autoSpaceDE/>
        <w:autoSpaceDN/>
        <w:bidi w:val="0"/>
        <w:adjustRightInd/>
        <w:snapToGrid/>
        <w:spacing w:before="120" w:after="120" w:line="360" w:lineRule="auto"/>
        <w:textAlignment w:val="auto"/>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Based on the progress of the last RAN2 meeting, relevant agreements regarding the aspects of A-IoT topology 2 have been reached, as detailed in [1] below.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numPr>
                <w:ilvl w:val="0"/>
                <w:numId w:val="0"/>
              </w:numPr>
              <w:spacing w:before="80" w:after="80"/>
              <w:rPr>
                <w:rFonts w:hint="eastAsia" w:ascii="Times New Roman" w:hAnsi="Times New Roman" w:eastAsia="宋体" w:cs="Times New Roman"/>
                <w:b/>
                <w:bCs/>
                <w:kern w:val="0"/>
                <w:sz w:val="20"/>
                <w:szCs w:val="20"/>
                <w:vertAlign w:val="baseline"/>
                <w:lang w:val="en-US" w:eastAsia="zh-CN"/>
              </w:rPr>
            </w:pPr>
            <w:r>
              <w:rPr>
                <w:rFonts w:hint="eastAsia" w:ascii="Times New Roman" w:hAnsi="Times New Roman" w:eastAsia="宋体" w:cs="Times New Roman"/>
                <w:b/>
                <w:bCs/>
                <w:kern w:val="0"/>
                <w:sz w:val="20"/>
                <w:szCs w:val="20"/>
                <w:vertAlign w:val="baseline"/>
                <w:lang w:val="en-US" w:eastAsia="zh-CN"/>
              </w:rPr>
              <w:t xml:space="preserve">Agreements </w:t>
            </w:r>
          </w:p>
          <w:p>
            <w:pPr>
              <w:numPr>
                <w:ilvl w:val="0"/>
                <w:numId w:val="0"/>
              </w:numPr>
              <w:spacing w:before="80" w:after="80"/>
              <w:rPr>
                <w:rFonts w:hint="eastAsia" w:ascii="Times New Roman" w:hAnsi="Times New Roman" w:eastAsia="宋体" w:cs="Times New Roman"/>
                <w:kern w:val="0"/>
                <w:sz w:val="20"/>
                <w:szCs w:val="20"/>
                <w:highlight w:val="none"/>
                <w:vertAlign w:val="baseline"/>
                <w:lang w:val="en-US" w:eastAsia="zh-CN"/>
              </w:rPr>
            </w:pPr>
            <w:r>
              <w:rPr>
                <w:rFonts w:hint="eastAsia" w:ascii="Times New Roman" w:hAnsi="Times New Roman" w:eastAsia="宋体" w:cs="Times New Roman"/>
                <w:kern w:val="0"/>
                <w:sz w:val="20"/>
                <w:szCs w:val="20"/>
                <w:vertAlign w:val="baseline"/>
                <w:lang w:val="en-US" w:eastAsia="zh-CN"/>
              </w:rPr>
              <w:t xml:space="preserve">1.  </w:t>
            </w:r>
            <w:r>
              <w:rPr>
                <w:rFonts w:hint="eastAsia" w:ascii="Times New Roman" w:hAnsi="Times New Roman" w:eastAsia="宋体" w:cs="Times New Roman"/>
                <w:kern w:val="0"/>
                <w:sz w:val="20"/>
                <w:szCs w:val="20"/>
                <w:vertAlign w:val="baseline"/>
                <w:lang w:val="en-US" w:eastAsia="zh-CN"/>
              </w:rPr>
              <w:tab/>
            </w:r>
            <w:r>
              <w:rPr>
                <w:rFonts w:hint="eastAsia" w:ascii="Times New Roman" w:hAnsi="Times New Roman" w:eastAsia="宋体" w:cs="Times New Roman"/>
                <w:kern w:val="0"/>
                <w:sz w:val="20"/>
                <w:szCs w:val="20"/>
                <w:vertAlign w:val="baseline"/>
                <w:lang w:val="en-US" w:eastAsia="zh-CN"/>
              </w:rPr>
              <w:t xml:space="preserve">gNB will provide AIoT information to the UE reader via RRC dedicated signalling based on NGAP AIoT information received from CN. </w:t>
            </w:r>
            <w:r>
              <w:rPr>
                <w:rFonts w:hint="eastAsia" w:ascii="Times New Roman" w:hAnsi="Times New Roman" w:eastAsia="宋体" w:cs="Times New Roman"/>
                <w:kern w:val="0"/>
                <w:sz w:val="20"/>
                <w:szCs w:val="20"/>
                <w:highlight w:val="none"/>
                <w:vertAlign w:val="baseline"/>
                <w:lang w:val="en-US" w:eastAsia="zh-CN"/>
              </w:rPr>
              <w:t xml:space="preserve"> FFS what information </w:t>
            </w:r>
          </w:p>
          <w:p>
            <w:pPr>
              <w:numPr>
                <w:ilvl w:val="0"/>
                <w:numId w:val="0"/>
              </w:numPr>
              <w:spacing w:before="80" w:after="80"/>
              <w:rPr>
                <w:rFonts w:hint="eastAsia"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2.</w:t>
            </w:r>
            <w:r>
              <w:rPr>
                <w:rFonts w:hint="eastAsia" w:ascii="Times New Roman" w:hAnsi="Times New Roman" w:eastAsia="宋体" w:cs="Times New Roman"/>
                <w:kern w:val="0"/>
                <w:sz w:val="20"/>
                <w:szCs w:val="20"/>
                <w:vertAlign w:val="baseline"/>
                <w:lang w:val="en-US" w:eastAsia="zh-CN"/>
              </w:rPr>
              <w:tab/>
            </w:r>
            <w:r>
              <w:rPr>
                <w:rFonts w:hint="eastAsia" w:ascii="Times New Roman" w:hAnsi="Times New Roman" w:eastAsia="宋体" w:cs="Times New Roman"/>
                <w:kern w:val="0"/>
                <w:sz w:val="20"/>
                <w:szCs w:val="20"/>
                <w:vertAlign w:val="baseline"/>
                <w:lang w:val="en-US" w:eastAsia="zh-CN"/>
              </w:rPr>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pPr>
              <w:numPr>
                <w:ilvl w:val="0"/>
                <w:numId w:val="0"/>
              </w:numPr>
              <w:spacing w:before="80" w:after="80"/>
              <w:rPr>
                <w:rFonts w:hint="eastAsia"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 xml:space="preserve">3. </w:t>
            </w:r>
            <w:r>
              <w:rPr>
                <w:rFonts w:hint="eastAsia" w:ascii="Times New Roman" w:hAnsi="Times New Roman" w:eastAsia="宋体" w:cs="Times New Roman"/>
                <w:kern w:val="0"/>
                <w:sz w:val="20"/>
                <w:szCs w:val="20"/>
                <w:vertAlign w:val="baseline"/>
                <w:lang w:val="en-US" w:eastAsia="zh-CN"/>
              </w:rPr>
              <w:tab/>
            </w:r>
            <w:r>
              <w:rPr>
                <w:rFonts w:hint="eastAsia" w:ascii="Times New Roman" w:hAnsi="Times New Roman" w:eastAsia="宋体" w:cs="Times New Roman"/>
                <w:kern w:val="0"/>
                <w:sz w:val="20"/>
                <w:szCs w:val="20"/>
                <w:vertAlign w:val="baseline"/>
                <w:lang w:val="en-US" w:eastAsia="zh-CN"/>
              </w:rPr>
              <w:t xml:space="preserve">the reader schedules the AIoT interface transmissions within the resources allocated by the gNB. </w:t>
            </w:r>
          </w:p>
          <w:p>
            <w:pPr>
              <w:pStyle w:val="198"/>
              <w:rPr>
                <w:rFonts w:hint="eastAsia" w:ascii="Times New Roman" w:hAnsi="Times New Roman" w:eastAsia="宋体" w:cs="Times New Roman"/>
                <w:kern w:val="0"/>
                <w:sz w:val="20"/>
                <w:szCs w:val="20"/>
                <w:vertAlign w:val="baseline"/>
                <w:lang w:val="en-US" w:eastAsia="zh-CN"/>
              </w:rPr>
            </w:pPr>
            <w:r>
              <w:t xml:space="preserve">Continue discussion next meeting on how resource allocation looks like.  </w:t>
            </w:r>
          </w:p>
        </w:tc>
      </w:tr>
    </w:tbl>
    <w:p>
      <w:pPr>
        <w:widowControl/>
        <w:spacing w:before="120" w:after="120" w:line="360" w:lineRule="auto"/>
        <w:rPr>
          <w:rFonts w:hint="default" w:ascii="Times New Roman" w:hAnsi="Times New Roman" w:eastAsia="宋体" w:cs="Times New Roman"/>
          <w:kern w:val="0"/>
          <w:sz w:val="20"/>
          <w:szCs w:val="20"/>
          <w:lang w:val="en-US" w:eastAsia="zh-CN"/>
        </w:rPr>
      </w:pPr>
      <w:r>
        <w:rPr>
          <w:rFonts w:hint="default" w:ascii="Times New Roman" w:hAnsi="Times New Roman" w:eastAsia="宋体" w:cs="Times New Roman"/>
          <w:kern w:val="0"/>
          <w:sz w:val="20"/>
          <w:szCs w:val="20"/>
          <w:lang w:val="en-US" w:eastAsia="zh-CN"/>
        </w:rPr>
        <w:t>In this contribution,</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rPr>
        <w:t xml:space="preserve">we will further discuss </w:t>
      </w:r>
      <w:r>
        <w:rPr>
          <w:rFonts w:hint="eastAsia" w:ascii="Times New Roman" w:hAnsi="Times New Roman" w:eastAsia="宋体" w:cs="Times New Roman"/>
          <w:kern w:val="0"/>
          <w:sz w:val="20"/>
          <w:szCs w:val="20"/>
          <w:lang w:val="en-US" w:eastAsia="zh-CN"/>
        </w:rPr>
        <w:t xml:space="preserve">the remaining issues related to </w:t>
      </w:r>
      <w:r>
        <w:rPr>
          <w:rFonts w:hint="default" w:ascii="Times New Roman" w:hAnsi="Times New Roman" w:eastAsia="宋体" w:cs="Times New Roman"/>
          <w:kern w:val="0"/>
          <w:sz w:val="20"/>
          <w:szCs w:val="20"/>
          <w:lang w:val="en-US" w:eastAsia="zh-CN"/>
        </w:rPr>
        <w:t>D</w:t>
      </w:r>
      <w:r>
        <w:rPr>
          <w:rFonts w:hint="eastAsia" w:ascii="Times New Roman" w:hAnsi="Times New Roman" w:eastAsia="宋体" w:cs="Times New Roman"/>
          <w:kern w:val="0"/>
          <w:sz w:val="20"/>
          <w:szCs w:val="20"/>
          <w:lang w:val="en-US" w:eastAsia="zh-CN"/>
        </w:rPr>
        <w:t>2T2</w:t>
      </w:r>
      <w:r>
        <w:rPr>
          <w:rFonts w:hint="default" w:ascii="Times New Roman" w:hAnsi="Times New Roman" w:eastAsia="宋体" w:cs="Times New Roman"/>
          <w:kern w:val="0"/>
          <w:sz w:val="20"/>
          <w:szCs w:val="20"/>
          <w:lang w:val="en-US" w:eastAsia="zh-CN"/>
        </w:rPr>
        <w:t xml:space="preserve"> for Ambient IoT</w:t>
      </w:r>
      <w:r>
        <w:rPr>
          <w:rFonts w:hint="eastAsia" w:ascii="Times New Roman" w:hAnsi="Times New Roman" w:eastAsia="宋体" w:cs="Times New Roman"/>
          <w:kern w:val="0"/>
          <w:sz w:val="20"/>
          <w:szCs w:val="20"/>
          <w:lang w:val="en-US" w:eastAsia="zh-CN"/>
        </w:rPr>
        <w:t>.</w:t>
      </w:r>
    </w:p>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hint="eastAsia" w:ascii="Times New Roman" w:hAnsi="Times New Roman" w:eastAsia="宋体" w:cs="Times New Roman"/>
          <w:kern w:val="0"/>
          <w:sz w:val="20"/>
          <w:szCs w:val="20"/>
          <w:lang w:val="en-US" w:eastAsia="zh-CN" w:bidi="ar-SA"/>
        </w:rPr>
      </w:pPr>
      <w:r>
        <w:rPr>
          <w:rFonts w:ascii="CG Times (WN)" w:hAnsi="CG Times (WN)" w:eastAsia="Times New Roman" w:cs="Times New Roman"/>
          <w:kern w:val="0"/>
          <w:sz w:val="36"/>
          <w:szCs w:val="20"/>
          <w:lang w:val="en-GB" w:eastAsia="en-US" w:bidi="ar-SA"/>
        </w:rPr>
        <w:t>2.</w:t>
      </w:r>
      <w:r>
        <w:rPr>
          <w:rFonts w:hint="eastAsia" w:ascii="CG Times (WN)" w:hAnsi="CG Times (WN)" w:eastAsia="Times New Roman" w:cs="Times New Roman"/>
          <w:kern w:val="0"/>
          <w:sz w:val="36"/>
          <w:szCs w:val="20"/>
          <w:lang w:val="fr-FR" w:eastAsia="en-US"/>
        </w:rPr>
        <w:t>Discussion</w:t>
      </w:r>
      <w:bookmarkStart w:id="5" w:name="PP12"/>
    </w:p>
    <w:p>
      <w:pPr>
        <w:pStyle w:val="156"/>
        <w:widowControl/>
        <w:adjustRightInd w:val="0"/>
        <w:snapToGrid w:val="0"/>
        <w:spacing w:after="120" w:afterLines="50" w:line="360" w:lineRule="auto"/>
        <w:ind w:firstLine="0" w:firstLineChars="0"/>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In Topology 2, upon receiving an A-IoT service request from the CN, the gNB shall provide A-IoT information to the UE reader via RRC dedicated signaling. Similar to Topology 1, a service request type indication field (such as the transaction ID in Topology 1) is required; this enables the UE reader to properly schedule transmissions over the A-IoT interface. Furthermore, the Paging ID may carry A-IoT identification information, which is essential for completing the A-IoT service request. Therefore, both types of information should be included in the RRC dedicated signaling.</w:t>
      </w:r>
    </w:p>
    <w:p>
      <w:pPr>
        <w:pStyle w:val="156"/>
        <w:widowControl/>
        <w:adjustRightInd w:val="0"/>
        <w:snapToGrid w:val="0"/>
        <w:spacing w:after="120" w:afterLines="50" w:line="360" w:lineRule="auto"/>
        <w:ind w:firstLine="0" w:firstLineChars="0"/>
        <w:rPr>
          <w:rFonts w:hint="default" w:ascii="Times New Roman" w:hAnsi="Times New Roman" w:cs="Times New Roman"/>
          <w:b/>
          <w:i/>
          <w:sz w:val="22"/>
          <w:szCs w:val="24"/>
          <w:lang w:val="en-US" w:eastAsia="zh-CN"/>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rPr>
        <w:t>1</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The RRC signaling through which the gNB provides A-IoT information may include service request type indication information and Paging ID information.</w:t>
      </w:r>
    </w:p>
    <w:p>
      <w:pPr>
        <w:pStyle w:val="156"/>
        <w:widowControl/>
        <w:adjustRightInd w:val="0"/>
        <w:snapToGrid w:val="0"/>
        <w:spacing w:after="120" w:afterLines="50" w:line="360" w:lineRule="auto"/>
        <w:ind w:firstLine="0" w:firstLineChars="0"/>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According to the agreement of RAN2#131 bis meeting, the UE reader may provide assistance information related to A-IoT transmissions to assist the gNB with resource allocation. It is for further study what specific information would be useful to provide to the gNB. To facilitate more reasonable resource allocation by the base station, device connection status information is necessary, including the number of currently connected devices, the maximum number of connectable devices, and so on. In addition, the UE reader may feed back signal strength indication information during communications with A-IoT devices to the gNB, which can then adjust its resource allocation strategy based on this information.</w:t>
      </w:r>
    </w:p>
    <w:p>
      <w:pPr>
        <w:pStyle w:val="156"/>
        <w:widowControl/>
        <w:adjustRightInd w:val="0"/>
        <w:snapToGrid w:val="0"/>
        <w:spacing w:after="120" w:afterLines="50" w:line="360" w:lineRule="auto"/>
        <w:ind w:firstLine="0" w:firstLineChars="0"/>
        <w:rPr>
          <w:rFonts w:hint="default" w:ascii="Times New Roman" w:hAnsi="Times New Roman" w:eastAsia="宋体" w:cs="Times New Roman"/>
          <w:kern w:val="0"/>
          <w:sz w:val="20"/>
          <w:szCs w:val="20"/>
          <w:vertAlign w:val="baseline"/>
          <w:lang w:val="en-US" w:eastAsia="zh-CN"/>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2</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The UE reader may provide device connection status information and signal strength indication information to the gNB to assist with resource allocation.</w:t>
      </w:r>
    </w:p>
    <w:p>
      <w:pPr>
        <w:pStyle w:val="156"/>
        <w:widowControl/>
        <w:adjustRightInd w:val="0"/>
        <w:snapToGrid w:val="0"/>
        <w:spacing w:after="120" w:afterLines="50" w:line="360" w:lineRule="auto"/>
        <w:ind w:firstLine="0" w:firstLineChars="0"/>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Regarding the validity of allocated A-IoT radio resource for A-IoT radio interface, two options were identified during the Study Item (SI) phase:</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4" w:hRule="atLeast"/>
        </w:trPr>
        <w:tc>
          <w:tcPr>
            <w:tcW w:w="9286" w:type="dxa"/>
          </w:tcPr>
          <w:p>
            <w:pPr>
              <w:widowControl/>
              <w:spacing w:before="120" w:beforeLines="50" w:after="120" w:afterLines="50" w:line="240" w:lineRule="auto"/>
              <w:jc w:val="left"/>
              <w:rPr>
                <w:rFonts w:ascii="Times New Roman" w:hAnsi="Times New Roman" w:eastAsia="Malgun Gothic" w:cs="Times New Roman"/>
                <w:kern w:val="0"/>
                <w:sz w:val="20"/>
                <w:szCs w:val="20"/>
                <w:lang w:val="en-GB" w:eastAsia="zh-CN"/>
              </w:rPr>
            </w:pPr>
            <w:r>
              <w:rPr>
                <w:rFonts w:ascii="Times New Roman" w:hAnsi="Times New Roman" w:eastAsia="等线" w:cs="Times New Roman"/>
                <w:kern w:val="0"/>
                <w:sz w:val="20"/>
                <w:szCs w:val="20"/>
                <w:lang w:val="en-GB" w:eastAsia="zh-CN"/>
              </w:rPr>
              <w:t>-</w:t>
            </w:r>
            <w:r>
              <w:rPr>
                <w:rFonts w:ascii="Times New Roman" w:hAnsi="Times New Roman" w:eastAsia="等线" w:cs="Times New Roman"/>
                <w:kern w:val="0"/>
                <w:sz w:val="20"/>
                <w:szCs w:val="20"/>
                <w:lang w:val="en-GB" w:eastAsia="zh-CN"/>
              </w:rPr>
              <w:tab/>
            </w:r>
            <w:r>
              <w:rPr>
                <w:rFonts w:ascii="Times New Roman" w:hAnsi="Times New Roman" w:eastAsia="等线" w:cs="Times New Roman"/>
                <w:kern w:val="0"/>
                <w:sz w:val="20"/>
                <w:szCs w:val="20"/>
                <w:lang w:val="en-GB" w:eastAsia="zh-CN"/>
              </w:rPr>
              <w:t>Option 1:</w:t>
            </w:r>
            <w:r>
              <w:rPr>
                <w:rFonts w:ascii="Times New Roman" w:hAnsi="Times New Roman" w:eastAsia="等线" w:cs="Times New Roman"/>
                <w:kern w:val="0"/>
                <w:sz w:val="20"/>
                <w:szCs w:val="20"/>
                <w:lang w:val="en-GB" w:eastAsia="zh-CN"/>
              </w:rPr>
              <w:tab/>
            </w:r>
            <w:r>
              <w:rPr>
                <w:rFonts w:ascii="Times New Roman" w:hAnsi="Times New Roman" w:eastAsia="Malgun Gothic" w:cs="Times New Roman"/>
                <w:kern w:val="0"/>
                <w:sz w:val="20"/>
                <w:szCs w:val="20"/>
                <w:lang w:val="en-GB" w:eastAsia="zh-CN"/>
              </w:rPr>
              <w:t>UE reader receives the resources configuration in NR Uu dedicated RRC signalling. The radio resources remain valid until the network releases them explicitly. This would be supported by the NR Uu RRC reconfiguration; and/or</w:t>
            </w:r>
          </w:p>
          <w:p>
            <w:pPr>
              <w:pStyle w:val="156"/>
              <w:widowControl/>
              <w:adjustRightInd w:val="0"/>
              <w:snapToGrid w:val="0"/>
              <w:spacing w:after="120" w:afterLines="50" w:line="360" w:lineRule="auto"/>
              <w:ind w:firstLine="0" w:firstLineChars="0"/>
              <w:rPr>
                <w:rFonts w:ascii="Times New Roman" w:hAnsi="Times New Roman" w:eastAsia="Malgun Gothic" w:cs="Times New Roman"/>
                <w:kern w:val="0"/>
                <w:sz w:val="20"/>
                <w:szCs w:val="20"/>
                <w:vertAlign w:val="baseline"/>
                <w:lang w:val="en-GB" w:eastAsia="ko-KR"/>
              </w:rPr>
            </w:pPr>
            <w:r>
              <w:rPr>
                <w:rFonts w:ascii="Times New Roman" w:hAnsi="Times New Roman" w:eastAsia="Malgun Gothic" w:cs="Times New Roman"/>
                <w:kern w:val="0"/>
                <w:sz w:val="20"/>
                <w:szCs w:val="20"/>
                <w:lang w:val="en-GB" w:eastAsia="zh-CN"/>
              </w:rPr>
              <w:t>-</w:t>
            </w:r>
            <w:r>
              <w:rPr>
                <w:rFonts w:ascii="Times New Roman" w:hAnsi="Times New Roman" w:eastAsia="Malgun Gothic" w:cs="Times New Roman"/>
                <w:kern w:val="0"/>
                <w:sz w:val="20"/>
                <w:szCs w:val="20"/>
                <w:lang w:val="en-GB" w:eastAsia="zh-CN"/>
              </w:rPr>
              <w:tab/>
            </w:r>
            <w:r>
              <w:rPr>
                <w:rFonts w:ascii="Times New Roman" w:hAnsi="Times New Roman" w:eastAsia="Malgun Gothic" w:cs="Times New Roman"/>
                <w:kern w:val="0"/>
                <w:sz w:val="20"/>
                <w:szCs w:val="20"/>
                <w:lang w:val="en-GB" w:eastAsia="zh-CN"/>
              </w:rPr>
              <w:t>Option 2: UE reader receives the resources configuration in NR Uu dedicated RRC signalling, which configures a time period in which the corresponding resource can be used. The UE reader considers that the resources remain valid for that time period, unless the resource configuration is explicitly released by the network by the NR Uu RRC reconfiguration.</w:t>
            </w:r>
          </w:p>
        </w:tc>
      </w:tr>
    </w:tbl>
    <w:p>
      <w:pPr>
        <w:pStyle w:val="156"/>
        <w:widowControl/>
        <w:adjustRightInd w:val="0"/>
        <w:snapToGrid w:val="0"/>
        <w:spacing w:after="120" w:afterLines="50" w:line="360" w:lineRule="auto"/>
        <w:ind w:firstLine="0" w:firstLineChars="0"/>
        <w:rPr>
          <w:rFonts w:hint="default" w:ascii="Times New Roman" w:hAnsi="Times New Roman" w:eastAsia="宋体" w:cs="Times New Roman"/>
          <w:kern w:val="0"/>
          <w:sz w:val="20"/>
          <w:szCs w:val="20"/>
          <w:vertAlign w:val="baseline"/>
          <w:lang w:val="en-US" w:eastAsia="zh-CN"/>
        </w:rPr>
      </w:pPr>
      <w:r>
        <w:rPr>
          <w:rFonts w:hint="eastAsia" w:ascii="Times New Roman" w:hAnsi="Times New Roman" w:eastAsia="宋体" w:cs="Times New Roman"/>
          <w:kern w:val="0"/>
          <w:sz w:val="20"/>
          <w:szCs w:val="20"/>
          <w:vertAlign w:val="baseline"/>
          <w:lang w:val="en-US" w:eastAsia="zh-CN"/>
        </w:rPr>
        <w:t>As agreed in the last meeting, the gNB shall provide A-IoT resource information to the UE reader via RRC dedicated signaling. Throughout the procedure of handling different service requests, the gNB has full visibility of the service completion progress. Explicit network-controlled validity of A-IoT resources is more efficient than time-based validity, as it is challenging for the gNB to configure an appropriate time period. The time required to complete various A-IoT services is affected by multiple factors (e.g., the power level of A-IoT devices) that are beyond the gNB’s control. Therefore, we propose that only Option 1 needs to be supported in the Release 20 phase.</w:t>
      </w:r>
    </w:p>
    <w:p>
      <w:pPr>
        <w:pStyle w:val="156"/>
        <w:widowControl/>
        <w:adjustRightInd w:val="0"/>
        <w:snapToGrid w:val="0"/>
        <w:spacing w:after="120" w:afterLines="50" w:line="360" w:lineRule="auto"/>
        <w:ind w:firstLine="0" w:firstLineChars="0"/>
        <w:rPr>
          <w:rFonts w:hint="default" w:ascii="Times New Roman" w:hAnsi="Times New Roman" w:eastAsia="宋体" w:cs="Times New Roman"/>
          <w:kern w:val="0"/>
          <w:sz w:val="20"/>
          <w:szCs w:val="20"/>
          <w:vertAlign w:val="baseline"/>
          <w:lang w:val="en-US" w:eastAsia="zh-CN"/>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3</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RAN2 shall adopt Option 1 for A-IoT radio resource validity, i.e., the allocated radio resources remain valid until explicitly released by the network.</w:t>
      </w:r>
    </w:p>
    <w:p>
      <w:pPr>
        <w:keepNext w:val="0"/>
        <w:keepLines w:val="0"/>
        <w:pageBreakBefore w:val="0"/>
        <w:widowControl w:val="0"/>
        <w:kinsoku/>
        <w:wordWrap/>
        <w:overflowPunct/>
        <w:topLinePunct w:val="0"/>
        <w:autoSpaceDE/>
        <w:autoSpaceDN/>
        <w:bidi w:val="0"/>
        <w:adjustRightInd/>
        <w:snapToGrid/>
        <w:spacing w:after="181" w:afterLines="50" w:line="360" w:lineRule="auto"/>
        <w:jc w:val="both"/>
        <w:textAlignment w:val="auto"/>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For the issue related to UE reader temporary out-of-connection, WID has restricted to include </w:t>
      </w:r>
      <w:r>
        <w:rPr>
          <w:rFonts w:hint="default" w:ascii="Times New Roman" w:hAnsi="Times New Roman" w:eastAsia="宋体" w:cs="Times New Roman"/>
          <w:kern w:val="0"/>
          <w:sz w:val="20"/>
          <w:szCs w:val="20"/>
          <w:lang w:val="en-US" w:eastAsia="zh-CN" w:bidi="ar-SA"/>
        </w:rPr>
        <w:t>RLF and handover</w:t>
      </w:r>
      <w:r>
        <w:rPr>
          <w:rFonts w:hint="eastAsia" w:ascii="Times New Roman" w:hAnsi="Times New Roman" w:eastAsia="宋体" w:cs="Times New Roman"/>
          <w:kern w:val="0"/>
          <w:sz w:val="20"/>
          <w:szCs w:val="20"/>
          <w:lang w:val="en-US" w:eastAsia="zh-CN" w:bidi="ar-SA"/>
        </w:rPr>
        <w:t xml:space="preserve"> (HO), with no other specific enhancements. Regarding the Uu RLF handling of UE reader, the UE reader can follow the legacy behaviour to initiate RRC re-establishment procedure and suspend the transmission of all RBs in the Uu interface. For the A-IoT air interface, the ongoing A-IoT service shall be suspended as well. After the re-establishment procedure, the UE reader can follow the configuration of the network to resume/re-initiate/stop the A-IoT service.</w:t>
      </w:r>
    </w:p>
    <w:p>
      <w:pPr>
        <w:keepNext w:val="0"/>
        <w:keepLines w:val="0"/>
        <w:pageBreakBefore w:val="0"/>
        <w:widowControl w:val="0"/>
        <w:kinsoku/>
        <w:wordWrap/>
        <w:overflowPunct/>
        <w:topLinePunct w:val="0"/>
        <w:autoSpaceDE/>
        <w:autoSpaceDN/>
        <w:bidi w:val="0"/>
        <w:adjustRightInd/>
        <w:snapToGrid/>
        <w:spacing w:after="181" w:afterLines="50" w:line="360" w:lineRule="auto"/>
        <w:jc w:val="both"/>
        <w:textAlignment w:val="auto"/>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As for HO, it is quite likely that the potential HO of the UE reader is under the control of the gNB, since there is no clear need to support the coexistence of A-IoT and UE triggered HO such as CHO. Thus, a simple way might be that the UE reader suspends the A-IoT service during the HO. After HO to the target cell, the UE reader can just follow the configuration of the network, which is similar to the above RLF case. </w:t>
      </w:r>
    </w:p>
    <w:p>
      <w:pPr>
        <w:keepNext w:val="0"/>
        <w:keepLines w:val="0"/>
        <w:pageBreakBefore w:val="0"/>
        <w:widowControl w:val="0"/>
        <w:kinsoku/>
        <w:wordWrap/>
        <w:overflowPunct/>
        <w:topLinePunct w:val="0"/>
        <w:autoSpaceDE/>
        <w:autoSpaceDN/>
        <w:bidi w:val="0"/>
        <w:adjustRightInd/>
        <w:snapToGrid/>
        <w:spacing w:after="181" w:afterLines="50" w:line="360" w:lineRule="auto"/>
        <w:jc w:val="both"/>
        <w:textAlignment w:val="auto"/>
        <w:rPr>
          <w:rFonts w:ascii="Times New Roman" w:hAnsi="Times New Roman" w:cs="Times New Roman" w:eastAsiaTheme="minorEastAsia"/>
          <w:b/>
          <w:i/>
          <w:kern w:val="2"/>
          <w:sz w:val="22"/>
          <w:szCs w:val="24"/>
          <w:lang w:val="en-US" w:eastAsia="zh-CN" w:bidi="ar-SA"/>
        </w:rPr>
      </w:pPr>
      <w:r>
        <w:rPr>
          <w:rFonts w:ascii="Times New Roman" w:hAnsi="Times New Roman" w:cs="Times New Roman" w:eastAsiaTheme="minorEastAsia"/>
          <w:b/>
          <w:i/>
          <w:kern w:val="2"/>
          <w:sz w:val="22"/>
          <w:szCs w:val="24"/>
          <w:lang w:val="en-US" w:eastAsia="zh-CN" w:bidi="ar-SA"/>
        </w:rPr>
        <w:t>P</w:t>
      </w:r>
      <w:r>
        <w:rPr>
          <w:rFonts w:hint="eastAsia" w:ascii="Times New Roman" w:hAnsi="Times New Roman" w:cs="Times New Roman" w:eastAsiaTheme="minorEastAsia"/>
          <w:b/>
          <w:i/>
          <w:kern w:val="2"/>
          <w:sz w:val="22"/>
          <w:szCs w:val="24"/>
          <w:lang w:val="en-US" w:eastAsia="zh-CN" w:bidi="ar-SA"/>
        </w:rPr>
        <w:t xml:space="preserve">roposal </w:t>
      </w:r>
      <w:r>
        <w:rPr>
          <w:rFonts w:hint="eastAsia" w:ascii="Times New Roman" w:hAnsi="Times New Roman" w:cs="Times New Roman"/>
          <w:b/>
          <w:i/>
          <w:kern w:val="2"/>
          <w:sz w:val="22"/>
          <w:szCs w:val="24"/>
          <w:lang w:val="en-US" w:eastAsia="zh-CN" w:bidi="ar-SA"/>
        </w:rPr>
        <w:t>4</w:t>
      </w:r>
      <w:r>
        <w:rPr>
          <w:rFonts w:hint="eastAsia" w:ascii="Times New Roman" w:hAnsi="Times New Roman" w:cs="Times New Roman" w:eastAsiaTheme="minorEastAsia"/>
          <w:b/>
          <w:i/>
          <w:kern w:val="2"/>
          <w:sz w:val="22"/>
          <w:szCs w:val="24"/>
          <w:lang w:val="en-US" w:eastAsia="zh-CN" w:bidi="ar-SA"/>
        </w:rPr>
        <w:t>:</w:t>
      </w:r>
      <w:r>
        <w:rPr>
          <w:rFonts w:ascii="Times New Roman" w:hAnsi="Times New Roman" w:cs="Times New Roman" w:eastAsiaTheme="minorEastAsia"/>
          <w:b/>
          <w:i/>
          <w:kern w:val="2"/>
          <w:sz w:val="22"/>
          <w:szCs w:val="24"/>
          <w:lang w:val="en-US" w:eastAsia="zh-CN" w:bidi="ar-SA"/>
        </w:rPr>
        <w:t xml:space="preserve"> For Uu RLF handling of UE reader, the UE reader follows the legacy behaviour to initiate RRC re-establishment procedure in the </w:t>
      </w:r>
      <w:r>
        <w:rPr>
          <w:rFonts w:hint="eastAsia" w:ascii="Times New Roman" w:hAnsi="Times New Roman" w:cs="Times New Roman" w:eastAsiaTheme="minorEastAsia"/>
          <w:b/>
          <w:i/>
          <w:kern w:val="2"/>
          <w:sz w:val="22"/>
          <w:szCs w:val="24"/>
          <w:lang w:val="en-US" w:eastAsia="zh-CN" w:bidi="ar-SA"/>
        </w:rPr>
        <w:t>Uu</w:t>
      </w:r>
      <w:r>
        <w:rPr>
          <w:rFonts w:ascii="Times New Roman" w:hAnsi="Times New Roman" w:cs="Times New Roman" w:eastAsiaTheme="minorEastAsia"/>
          <w:b/>
          <w:i/>
          <w:kern w:val="2"/>
          <w:sz w:val="22"/>
          <w:szCs w:val="24"/>
          <w:lang w:val="en-US" w:eastAsia="zh-CN" w:bidi="ar-SA"/>
        </w:rPr>
        <w:t xml:space="preserve"> interface. </w:t>
      </w:r>
    </w:p>
    <w:p>
      <w:pPr>
        <w:keepNext w:val="0"/>
        <w:keepLines w:val="0"/>
        <w:pageBreakBefore w:val="0"/>
        <w:widowControl w:val="0"/>
        <w:kinsoku/>
        <w:wordWrap/>
        <w:overflowPunct/>
        <w:topLinePunct w:val="0"/>
        <w:autoSpaceDE/>
        <w:autoSpaceDN/>
        <w:bidi w:val="0"/>
        <w:adjustRightInd/>
        <w:snapToGrid/>
        <w:spacing w:after="181" w:afterLines="50" w:line="360" w:lineRule="auto"/>
        <w:jc w:val="both"/>
        <w:textAlignment w:val="auto"/>
        <w:rPr>
          <w:rFonts w:hint="default" w:ascii="Times New Roman" w:hAnsi="Times New Roman" w:cs="Times New Roman" w:eastAsiaTheme="minorEastAsia"/>
          <w:b/>
          <w:i/>
          <w:kern w:val="2"/>
          <w:sz w:val="22"/>
          <w:szCs w:val="24"/>
          <w:lang w:val="en-US" w:eastAsia="zh-CN" w:bidi="ar-SA"/>
        </w:rPr>
      </w:pPr>
      <w:r>
        <w:rPr>
          <w:rFonts w:ascii="Times New Roman" w:hAnsi="Times New Roman" w:cs="Times New Roman" w:eastAsiaTheme="minorEastAsia"/>
          <w:b/>
          <w:i/>
          <w:kern w:val="2"/>
          <w:sz w:val="22"/>
          <w:szCs w:val="24"/>
          <w:lang w:val="en-US" w:eastAsia="zh-CN" w:bidi="ar-SA"/>
        </w:rPr>
        <w:t>P</w:t>
      </w:r>
      <w:r>
        <w:rPr>
          <w:rFonts w:hint="eastAsia" w:ascii="Times New Roman" w:hAnsi="Times New Roman" w:cs="Times New Roman" w:eastAsiaTheme="minorEastAsia"/>
          <w:b/>
          <w:i/>
          <w:kern w:val="2"/>
          <w:sz w:val="22"/>
          <w:szCs w:val="24"/>
          <w:lang w:val="en-US" w:eastAsia="zh-CN" w:bidi="ar-SA"/>
        </w:rPr>
        <w:t xml:space="preserve">roposal </w:t>
      </w:r>
      <w:r>
        <w:rPr>
          <w:rFonts w:hint="eastAsia" w:ascii="Times New Roman" w:hAnsi="Times New Roman" w:cs="Times New Roman"/>
          <w:b/>
          <w:i/>
          <w:kern w:val="2"/>
          <w:sz w:val="22"/>
          <w:szCs w:val="24"/>
          <w:lang w:val="en-US" w:eastAsia="zh-CN" w:bidi="ar-SA"/>
        </w:rPr>
        <w:t>5</w:t>
      </w:r>
      <w:r>
        <w:rPr>
          <w:rFonts w:hint="eastAsia" w:ascii="Times New Roman" w:hAnsi="Times New Roman" w:cs="Times New Roman" w:eastAsiaTheme="minorEastAsia"/>
          <w:b/>
          <w:i/>
          <w:kern w:val="2"/>
          <w:sz w:val="22"/>
          <w:szCs w:val="24"/>
          <w:lang w:val="en-US" w:eastAsia="zh-CN" w:bidi="ar-SA"/>
        </w:rPr>
        <w:t>:</w:t>
      </w:r>
      <w:r>
        <w:rPr>
          <w:rFonts w:ascii="Times New Roman" w:hAnsi="Times New Roman" w:cs="Times New Roman" w:eastAsiaTheme="minorEastAsia"/>
          <w:b/>
          <w:i/>
          <w:kern w:val="2"/>
          <w:sz w:val="22"/>
          <w:szCs w:val="24"/>
          <w:lang w:val="en-US" w:eastAsia="zh-CN" w:bidi="ar-SA"/>
        </w:rPr>
        <w:t xml:space="preserve"> For HO of the UE reader, the UE reader suspends the ongoing A-IoT service during the HO procedure.</w:t>
      </w:r>
      <w:r>
        <w:rPr>
          <w:rFonts w:hint="eastAsia" w:ascii="Times New Roman" w:hAnsi="Times New Roman" w:cs="Times New Roman"/>
          <w:b/>
          <w:i/>
          <w:kern w:val="2"/>
          <w:sz w:val="22"/>
          <w:szCs w:val="24"/>
          <w:lang w:val="en-US" w:eastAsia="zh-CN" w:bidi="ar-SA"/>
        </w:rPr>
        <w:t xml:space="preserve"> </w:t>
      </w:r>
      <w:r>
        <w:rPr>
          <w:rFonts w:ascii="Times New Roman" w:hAnsi="Times New Roman" w:cs="Times New Roman" w:eastAsiaTheme="minorEastAsia"/>
          <w:b/>
          <w:i/>
          <w:kern w:val="2"/>
          <w:sz w:val="22"/>
          <w:szCs w:val="24"/>
          <w:lang w:val="en-US" w:eastAsia="zh-CN" w:bidi="ar-SA"/>
        </w:rPr>
        <w:t>After HO to the target cell, the UE reader follows the configuration of the network</w:t>
      </w:r>
      <w:r>
        <w:rPr>
          <w:rFonts w:hint="eastAsia" w:ascii="Times New Roman" w:hAnsi="Times New Roman" w:cs="Times New Roman"/>
          <w:b/>
          <w:i/>
          <w:kern w:val="2"/>
          <w:sz w:val="22"/>
          <w:szCs w:val="24"/>
          <w:lang w:val="en-US" w:eastAsia="zh-CN" w:bidi="ar-SA"/>
        </w:rPr>
        <w:t>.</w:t>
      </w:r>
    </w:p>
    <w:bookmarkEnd w:id="5"/>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ascii="Arial" w:hAnsi="Arial" w:eastAsia="宋体" w:cs="Times New Roman"/>
          <w:kern w:val="0"/>
          <w:sz w:val="36"/>
          <w:szCs w:val="20"/>
          <w:lang w:val="fr-FR"/>
        </w:rPr>
      </w:pPr>
      <w:r>
        <w:rPr>
          <w:rFonts w:ascii="Arial" w:hAnsi="Arial" w:eastAsia="宋体" w:cs="Times New Roman"/>
          <w:kern w:val="0"/>
          <w:sz w:val="36"/>
          <w:szCs w:val="20"/>
          <w:lang w:val="en-GB" w:eastAsia="zh-CN" w:bidi="ar-SA"/>
        </w:rPr>
        <w:t>2.</w:t>
      </w:r>
      <w:r>
        <w:rPr>
          <w:rFonts w:hint="eastAsia" w:ascii="Arial" w:hAnsi="Arial" w:eastAsia="宋体" w:cs="Times New Roman"/>
          <w:kern w:val="0"/>
          <w:sz w:val="36"/>
          <w:szCs w:val="20"/>
          <w:lang w:val="fr-FR"/>
        </w:rPr>
        <w:t>Conclusion</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rPr>
        <w:t xml:space="preserve">Based on the above analysis, the following proposals are given for </w:t>
      </w:r>
      <w:r>
        <w:rPr>
          <w:rFonts w:hint="eastAsia" w:ascii="Times New Roman" w:hAnsi="Times New Roman" w:eastAsia="宋体" w:cs="Times New Roman"/>
          <w:kern w:val="0"/>
          <w:sz w:val="20"/>
          <w:szCs w:val="20"/>
          <w:lang w:val="en-US" w:eastAsia="zh-CN"/>
        </w:rPr>
        <w:t>Ambient IoT Topology 2.</w:t>
      </w:r>
    </w:p>
    <w:p>
      <w:pPr>
        <w:pStyle w:val="156"/>
        <w:widowControl/>
        <w:adjustRightInd w:val="0"/>
        <w:snapToGrid w:val="0"/>
        <w:spacing w:after="120" w:afterLines="50" w:line="360" w:lineRule="auto"/>
        <w:ind w:firstLine="0" w:firstLineChars="0"/>
        <w:rPr>
          <w:rFonts w:hint="default" w:ascii="Times New Roman" w:hAnsi="Times New Roman" w:cs="Times New Roman"/>
          <w:b/>
          <w:i/>
          <w:sz w:val="22"/>
          <w:szCs w:val="24"/>
          <w:lang w:val="en-US" w:eastAsia="zh-CN"/>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rPr>
        <w:t>1</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The RRC signaling through which the gNB provides A-IoT information may include service request type indication information and Paging ID information.</w:t>
      </w:r>
    </w:p>
    <w:p>
      <w:pPr>
        <w:pStyle w:val="156"/>
        <w:widowControl/>
        <w:adjustRightInd w:val="0"/>
        <w:snapToGrid w:val="0"/>
        <w:spacing w:after="120" w:afterLines="50" w:line="360" w:lineRule="auto"/>
        <w:ind w:firstLine="0" w:firstLineChars="0"/>
        <w:rPr>
          <w:rFonts w:hint="default" w:ascii="Times New Roman" w:hAnsi="Times New Roman" w:eastAsia="宋体" w:cs="Times New Roman"/>
          <w:kern w:val="0"/>
          <w:sz w:val="20"/>
          <w:szCs w:val="20"/>
          <w:vertAlign w:val="baseline"/>
          <w:lang w:val="en-US" w:eastAsia="zh-CN"/>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2</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The UE reader may provide device connection status information and signal strength indication information to the gNB to assist with resource allocation.</w:t>
      </w:r>
    </w:p>
    <w:p>
      <w:pPr>
        <w:pStyle w:val="156"/>
        <w:widowControl/>
        <w:adjustRightInd w:val="0"/>
        <w:snapToGrid w:val="0"/>
        <w:spacing w:after="120" w:afterLines="50" w:line="360" w:lineRule="auto"/>
        <w:ind w:firstLine="0" w:firstLineChars="0"/>
        <w:rPr>
          <w:rFonts w:hint="default" w:ascii="Times New Roman" w:hAnsi="Times New Roman" w:eastAsia="宋体" w:cs="Times New Roman"/>
          <w:kern w:val="0"/>
          <w:sz w:val="20"/>
          <w:szCs w:val="20"/>
          <w:vertAlign w:val="baseline"/>
          <w:lang w:val="en-US" w:eastAsia="zh-CN"/>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3</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RAN2 shall adopt Option 1 for A-IoT radio resource validity, i.e., the allocated radio resources remain valid until explicitly released by the network.</w:t>
      </w:r>
    </w:p>
    <w:p>
      <w:pPr>
        <w:keepNext w:val="0"/>
        <w:keepLines w:val="0"/>
        <w:pageBreakBefore w:val="0"/>
        <w:widowControl w:val="0"/>
        <w:kinsoku/>
        <w:wordWrap/>
        <w:overflowPunct/>
        <w:topLinePunct w:val="0"/>
        <w:autoSpaceDE/>
        <w:autoSpaceDN/>
        <w:bidi w:val="0"/>
        <w:adjustRightInd/>
        <w:snapToGrid/>
        <w:spacing w:after="181" w:afterLines="50" w:line="360" w:lineRule="auto"/>
        <w:jc w:val="both"/>
        <w:textAlignment w:val="auto"/>
        <w:rPr>
          <w:rFonts w:ascii="Times New Roman" w:hAnsi="Times New Roman" w:cs="Times New Roman" w:eastAsiaTheme="minorEastAsia"/>
          <w:b/>
          <w:i/>
          <w:kern w:val="2"/>
          <w:sz w:val="22"/>
          <w:szCs w:val="24"/>
          <w:lang w:val="en-US" w:eastAsia="zh-CN" w:bidi="ar-SA"/>
        </w:rPr>
      </w:pPr>
      <w:bookmarkStart w:id="6" w:name="_GoBack"/>
      <w:bookmarkEnd w:id="6"/>
      <w:r>
        <w:rPr>
          <w:rFonts w:ascii="Times New Roman" w:hAnsi="Times New Roman" w:cs="Times New Roman" w:eastAsiaTheme="minorEastAsia"/>
          <w:b/>
          <w:i/>
          <w:kern w:val="2"/>
          <w:sz w:val="22"/>
          <w:szCs w:val="24"/>
          <w:lang w:val="en-US" w:eastAsia="zh-CN" w:bidi="ar-SA"/>
        </w:rPr>
        <w:t>P</w:t>
      </w:r>
      <w:r>
        <w:rPr>
          <w:rFonts w:hint="eastAsia" w:ascii="Times New Roman" w:hAnsi="Times New Roman" w:cs="Times New Roman" w:eastAsiaTheme="minorEastAsia"/>
          <w:b/>
          <w:i/>
          <w:kern w:val="2"/>
          <w:sz w:val="22"/>
          <w:szCs w:val="24"/>
          <w:lang w:val="en-US" w:eastAsia="zh-CN" w:bidi="ar-SA"/>
        </w:rPr>
        <w:t xml:space="preserve">roposal </w:t>
      </w:r>
      <w:r>
        <w:rPr>
          <w:rFonts w:hint="eastAsia" w:ascii="Times New Roman" w:hAnsi="Times New Roman" w:cs="Times New Roman"/>
          <w:b/>
          <w:i/>
          <w:kern w:val="2"/>
          <w:sz w:val="22"/>
          <w:szCs w:val="24"/>
          <w:lang w:val="en-US" w:eastAsia="zh-CN" w:bidi="ar-SA"/>
        </w:rPr>
        <w:t>4</w:t>
      </w:r>
      <w:r>
        <w:rPr>
          <w:rFonts w:hint="eastAsia" w:ascii="Times New Roman" w:hAnsi="Times New Roman" w:cs="Times New Roman" w:eastAsiaTheme="minorEastAsia"/>
          <w:b/>
          <w:i/>
          <w:kern w:val="2"/>
          <w:sz w:val="22"/>
          <w:szCs w:val="24"/>
          <w:lang w:val="en-US" w:eastAsia="zh-CN" w:bidi="ar-SA"/>
        </w:rPr>
        <w:t>:</w:t>
      </w:r>
      <w:r>
        <w:rPr>
          <w:rFonts w:ascii="Times New Roman" w:hAnsi="Times New Roman" w:cs="Times New Roman" w:eastAsiaTheme="minorEastAsia"/>
          <w:b/>
          <w:i/>
          <w:kern w:val="2"/>
          <w:sz w:val="22"/>
          <w:szCs w:val="24"/>
          <w:lang w:val="en-US" w:eastAsia="zh-CN" w:bidi="ar-SA"/>
        </w:rPr>
        <w:t xml:space="preserve"> For Uu RLF handling of UE reader, the UE reader follows the legacy behaviour to initiate RRC re-establishment procedure in the </w:t>
      </w:r>
      <w:r>
        <w:rPr>
          <w:rFonts w:hint="eastAsia" w:ascii="Times New Roman" w:hAnsi="Times New Roman" w:cs="Times New Roman" w:eastAsiaTheme="minorEastAsia"/>
          <w:b/>
          <w:i/>
          <w:kern w:val="2"/>
          <w:sz w:val="22"/>
          <w:szCs w:val="24"/>
          <w:lang w:val="en-US" w:eastAsia="zh-CN" w:bidi="ar-SA"/>
        </w:rPr>
        <w:t>Uu</w:t>
      </w:r>
      <w:r>
        <w:rPr>
          <w:rFonts w:ascii="Times New Roman" w:hAnsi="Times New Roman" w:cs="Times New Roman" w:eastAsiaTheme="minorEastAsia"/>
          <w:b/>
          <w:i/>
          <w:kern w:val="2"/>
          <w:sz w:val="22"/>
          <w:szCs w:val="24"/>
          <w:lang w:val="en-US" w:eastAsia="zh-CN" w:bidi="ar-SA"/>
        </w:rPr>
        <w:t xml:space="preserve"> interface. </w:t>
      </w:r>
    </w:p>
    <w:p>
      <w:pPr>
        <w:keepNext w:val="0"/>
        <w:keepLines w:val="0"/>
        <w:pageBreakBefore w:val="0"/>
        <w:widowControl w:val="0"/>
        <w:kinsoku/>
        <w:wordWrap/>
        <w:overflowPunct/>
        <w:topLinePunct w:val="0"/>
        <w:autoSpaceDE/>
        <w:autoSpaceDN/>
        <w:bidi w:val="0"/>
        <w:adjustRightInd/>
        <w:snapToGrid/>
        <w:spacing w:after="181" w:afterLines="50" w:line="360" w:lineRule="auto"/>
        <w:jc w:val="both"/>
        <w:textAlignment w:val="auto"/>
        <w:rPr>
          <w:rFonts w:hint="default" w:ascii="Times New Roman" w:hAnsi="Times New Roman" w:cs="Times New Roman" w:eastAsiaTheme="minorEastAsia"/>
          <w:b/>
          <w:i/>
          <w:kern w:val="2"/>
          <w:sz w:val="22"/>
          <w:szCs w:val="24"/>
          <w:lang w:val="en-US" w:eastAsia="zh-CN" w:bidi="ar-SA"/>
        </w:rPr>
      </w:pPr>
      <w:r>
        <w:rPr>
          <w:rFonts w:ascii="Times New Roman" w:hAnsi="Times New Roman" w:cs="Times New Roman" w:eastAsiaTheme="minorEastAsia"/>
          <w:b/>
          <w:i/>
          <w:kern w:val="2"/>
          <w:sz w:val="22"/>
          <w:szCs w:val="24"/>
          <w:lang w:val="en-US" w:eastAsia="zh-CN" w:bidi="ar-SA"/>
        </w:rPr>
        <w:t>P</w:t>
      </w:r>
      <w:r>
        <w:rPr>
          <w:rFonts w:hint="eastAsia" w:ascii="Times New Roman" w:hAnsi="Times New Roman" w:cs="Times New Roman" w:eastAsiaTheme="minorEastAsia"/>
          <w:b/>
          <w:i/>
          <w:kern w:val="2"/>
          <w:sz w:val="22"/>
          <w:szCs w:val="24"/>
          <w:lang w:val="en-US" w:eastAsia="zh-CN" w:bidi="ar-SA"/>
        </w:rPr>
        <w:t xml:space="preserve">roposal </w:t>
      </w:r>
      <w:r>
        <w:rPr>
          <w:rFonts w:hint="eastAsia" w:ascii="Times New Roman" w:hAnsi="Times New Roman" w:cs="Times New Roman"/>
          <w:b/>
          <w:i/>
          <w:kern w:val="2"/>
          <w:sz w:val="22"/>
          <w:szCs w:val="24"/>
          <w:lang w:val="en-US" w:eastAsia="zh-CN" w:bidi="ar-SA"/>
        </w:rPr>
        <w:t>5</w:t>
      </w:r>
      <w:r>
        <w:rPr>
          <w:rFonts w:hint="eastAsia" w:ascii="Times New Roman" w:hAnsi="Times New Roman" w:cs="Times New Roman" w:eastAsiaTheme="minorEastAsia"/>
          <w:b/>
          <w:i/>
          <w:kern w:val="2"/>
          <w:sz w:val="22"/>
          <w:szCs w:val="24"/>
          <w:lang w:val="en-US" w:eastAsia="zh-CN" w:bidi="ar-SA"/>
        </w:rPr>
        <w:t>:</w:t>
      </w:r>
      <w:r>
        <w:rPr>
          <w:rFonts w:ascii="Times New Roman" w:hAnsi="Times New Roman" w:cs="Times New Roman" w:eastAsiaTheme="minorEastAsia"/>
          <w:b/>
          <w:i/>
          <w:kern w:val="2"/>
          <w:sz w:val="22"/>
          <w:szCs w:val="24"/>
          <w:lang w:val="en-US" w:eastAsia="zh-CN" w:bidi="ar-SA"/>
        </w:rPr>
        <w:t xml:space="preserve"> For HO of the UE reader, the UE reader suspends the ongoing A-IoT service during the HO procedure.</w:t>
      </w:r>
      <w:r>
        <w:rPr>
          <w:rFonts w:hint="eastAsia" w:ascii="Times New Roman" w:hAnsi="Times New Roman" w:cs="Times New Roman"/>
          <w:b/>
          <w:i/>
          <w:kern w:val="2"/>
          <w:sz w:val="22"/>
          <w:szCs w:val="24"/>
          <w:lang w:val="en-US" w:eastAsia="zh-CN" w:bidi="ar-SA"/>
        </w:rPr>
        <w:t xml:space="preserve"> </w:t>
      </w:r>
      <w:r>
        <w:rPr>
          <w:rFonts w:ascii="Times New Roman" w:hAnsi="Times New Roman" w:cs="Times New Roman" w:eastAsiaTheme="minorEastAsia"/>
          <w:b/>
          <w:i/>
          <w:kern w:val="2"/>
          <w:sz w:val="22"/>
          <w:szCs w:val="24"/>
          <w:lang w:val="en-US" w:eastAsia="zh-CN" w:bidi="ar-SA"/>
        </w:rPr>
        <w:t>After HO to the target cell, the UE reader follows the configuration of the network</w:t>
      </w:r>
      <w:r>
        <w:rPr>
          <w:rFonts w:hint="eastAsia" w:ascii="Times New Roman" w:hAnsi="Times New Roman" w:cs="Times New Roman"/>
          <w:b/>
          <w:i/>
          <w:kern w:val="2"/>
          <w:sz w:val="22"/>
          <w:szCs w:val="24"/>
          <w:lang w:val="en-US" w:eastAsia="zh-CN" w:bidi="ar-SA"/>
        </w:rPr>
        <w:t>.</w:t>
      </w:r>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bookmarkEnd w:id="0"/>
    <w:p>
      <w:pPr>
        <w:keepNext w:val="0"/>
        <w:keepLines w:val="0"/>
        <w:pageBreakBefore w:val="0"/>
        <w:widowControl w:val="0"/>
        <w:numPr>
          <w:ilvl w:val="0"/>
          <w:numId w:val="18"/>
        </w:numPr>
        <w:tabs>
          <w:tab w:val="left" w:pos="2127"/>
        </w:tabs>
        <w:kinsoku/>
        <w:wordWrap/>
        <w:overflowPunct/>
        <w:topLinePunct w:val="0"/>
        <w:autoSpaceDE/>
        <w:autoSpaceDN/>
        <w:bidi w:val="0"/>
        <w:adjustRightInd/>
        <w:snapToGrid/>
        <w:spacing w:after="181" w:afterLines="50" w:line="360" w:lineRule="auto"/>
        <w:ind w:left="2126" w:hanging="2126"/>
        <w:jc w:val="both"/>
        <w:textAlignment w:val="auto"/>
        <w:outlineLvl w:val="0"/>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rPr>
        <w:t>RAN2#131</w:t>
      </w:r>
      <w:r>
        <w:rPr>
          <w:rFonts w:hint="eastAsia" w:ascii="Times New Roman" w:hAnsi="Times New Roman" w:eastAsia="宋体" w:cs="Times New Roman"/>
          <w:kern w:val="0"/>
          <w:sz w:val="20"/>
          <w:szCs w:val="20"/>
          <w:lang w:val="en-US" w:eastAsia="zh-CN"/>
        </w:rPr>
        <w:t>bis</w:t>
      </w:r>
      <w:r>
        <w:rPr>
          <w:rFonts w:hint="eastAsia" w:ascii="Times New Roman" w:hAnsi="Times New Roman" w:eastAsia="宋体" w:cs="Times New Roman"/>
          <w:kern w:val="0"/>
          <w:sz w:val="20"/>
          <w:szCs w:val="20"/>
        </w:rPr>
        <w:t xml:space="preserve"> Chairman Notes</w:t>
      </w:r>
      <w:r>
        <w:rPr>
          <w:rFonts w:hint="eastAsia" w:ascii="Times New Roman" w:hAnsi="Times New Roman" w:eastAsia="宋体" w:cs="Times New Roman"/>
          <w:kern w:val="0"/>
          <w:sz w:val="20"/>
          <w:szCs w:val="20"/>
          <w:lang w:val="en-US" w:eastAsia="zh-CN"/>
        </w:rPr>
        <w:t>.</w:t>
      </w:r>
    </w:p>
    <w:p>
      <w:pPr>
        <w:widowControl/>
        <w:spacing w:after="120"/>
        <w:jc w:val="left"/>
        <w:rPr>
          <w:rFonts w:ascii="Times New Roman" w:hAnsi="Times New Roman" w:eastAsia="Times New Roman" w:cs="Times New Roman"/>
          <w:kern w:val="0"/>
          <w:sz w:val="20"/>
          <w:szCs w:val="20"/>
          <w:lang w:eastAsia="en-US"/>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UI Emoji">
    <w:panose1 w:val="020B0502040204020203"/>
    <w:charset w:val="00"/>
    <w:family w:val="auto"/>
    <w:pitch w:val="default"/>
    <w:sig w:usb0="00000001" w:usb1="02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42099"/>
    <w:multiLevelType w:val="singleLevel"/>
    <w:tmpl w:val="DDC42099"/>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32"/>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1">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3">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5">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7">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17"/>
  </w:num>
  <w:num w:numId="8">
    <w:abstractNumId w:val="8"/>
  </w:num>
  <w:num w:numId="9">
    <w:abstractNumId w:val="5"/>
  </w:num>
  <w:num w:numId="10">
    <w:abstractNumId w:val="2"/>
  </w:num>
  <w:num w:numId="11">
    <w:abstractNumId w:val="1"/>
  </w:num>
  <w:num w:numId="12">
    <w:abstractNumId w:val="15"/>
  </w:num>
  <w:num w:numId="13">
    <w:abstractNumId w:val="13"/>
  </w:num>
  <w:num w:numId="14">
    <w:abstractNumId w:val="14"/>
  </w:num>
  <w:num w:numId="15">
    <w:abstractNumId w:val="11"/>
  </w:num>
  <w:num w:numId="16">
    <w:abstractNumId w:val="16"/>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696"/>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71E"/>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C7554"/>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3EEB"/>
    <w:rsid w:val="00155793"/>
    <w:rsid w:val="00155833"/>
    <w:rsid w:val="00156762"/>
    <w:rsid w:val="00156CA5"/>
    <w:rsid w:val="001572C3"/>
    <w:rsid w:val="00157594"/>
    <w:rsid w:val="001579ED"/>
    <w:rsid w:val="00160520"/>
    <w:rsid w:val="001607DC"/>
    <w:rsid w:val="00160B1B"/>
    <w:rsid w:val="001612B1"/>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A6E1F"/>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0EC"/>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545C"/>
    <w:rsid w:val="0061622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30"/>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5908"/>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47"/>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D8E"/>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291"/>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593"/>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0ED6"/>
    <w:rsid w:val="00A6213D"/>
    <w:rsid w:val="00A629CB"/>
    <w:rsid w:val="00A62CF6"/>
    <w:rsid w:val="00A6399D"/>
    <w:rsid w:val="00A63CC6"/>
    <w:rsid w:val="00A6428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4D1"/>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516"/>
    <w:rsid w:val="00C13BB6"/>
    <w:rsid w:val="00C13C91"/>
    <w:rsid w:val="00C13D7C"/>
    <w:rsid w:val="00C13EE0"/>
    <w:rsid w:val="00C1498B"/>
    <w:rsid w:val="00C14DFE"/>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966"/>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36AE"/>
    <w:rsid w:val="00CF497B"/>
    <w:rsid w:val="00CF526D"/>
    <w:rsid w:val="00CF5950"/>
    <w:rsid w:val="00CF5DF7"/>
    <w:rsid w:val="00CF6708"/>
    <w:rsid w:val="00CF6C52"/>
    <w:rsid w:val="00CF73AA"/>
    <w:rsid w:val="00D00263"/>
    <w:rsid w:val="00D009A5"/>
    <w:rsid w:val="00D0140D"/>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224551"/>
    <w:rsid w:val="016347D7"/>
    <w:rsid w:val="016B57ED"/>
    <w:rsid w:val="01893391"/>
    <w:rsid w:val="01923B0A"/>
    <w:rsid w:val="01AA7149"/>
    <w:rsid w:val="01D03B06"/>
    <w:rsid w:val="02E76B51"/>
    <w:rsid w:val="02FA5B72"/>
    <w:rsid w:val="031125B9"/>
    <w:rsid w:val="0329503C"/>
    <w:rsid w:val="039D4465"/>
    <w:rsid w:val="03F66D0E"/>
    <w:rsid w:val="042102C1"/>
    <w:rsid w:val="04375CBF"/>
    <w:rsid w:val="044A0997"/>
    <w:rsid w:val="044F06A2"/>
    <w:rsid w:val="04B34B43"/>
    <w:rsid w:val="04D17976"/>
    <w:rsid w:val="054E4D41"/>
    <w:rsid w:val="057C458C"/>
    <w:rsid w:val="058058AC"/>
    <w:rsid w:val="059D1CD7"/>
    <w:rsid w:val="05B35D6A"/>
    <w:rsid w:val="05BD1814"/>
    <w:rsid w:val="05DA4EBC"/>
    <w:rsid w:val="05E277B3"/>
    <w:rsid w:val="05E47CE4"/>
    <w:rsid w:val="05F27A4D"/>
    <w:rsid w:val="061D7998"/>
    <w:rsid w:val="06231EE3"/>
    <w:rsid w:val="06334EE0"/>
    <w:rsid w:val="068C7C4C"/>
    <w:rsid w:val="06904561"/>
    <w:rsid w:val="06F32496"/>
    <w:rsid w:val="070C181F"/>
    <w:rsid w:val="07770ECE"/>
    <w:rsid w:val="07870946"/>
    <w:rsid w:val="07A71963"/>
    <w:rsid w:val="08083285"/>
    <w:rsid w:val="081751D4"/>
    <w:rsid w:val="082E2BFB"/>
    <w:rsid w:val="0834182C"/>
    <w:rsid w:val="084F3F16"/>
    <w:rsid w:val="08A53B3F"/>
    <w:rsid w:val="08B56357"/>
    <w:rsid w:val="08DB335B"/>
    <w:rsid w:val="08E81E12"/>
    <w:rsid w:val="09705425"/>
    <w:rsid w:val="09BC3307"/>
    <w:rsid w:val="09BF428B"/>
    <w:rsid w:val="09CE48A6"/>
    <w:rsid w:val="09DE4A06"/>
    <w:rsid w:val="0A35554F"/>
    <w:rsid w:val="0A9D1518"/>
    <w:rsid w:val="0B4F36C4"/>
    <w:rsid w:val="0B7308DD"/>
    <w:rsid w:val="0B8E538E"/>
    <w:rsid w:val="0B9679B3"/>
    <w:rsid w:val="0BAF57FE"/>
    <w:rsid w:val="0BF6772E"/>
    <w:rsid w:val="0C053C2E"/>
    <w:rsid w:val="0C3E7B22"/>
    <w:rsid w:val="0C747FFC"/>
    <w:rsid w:val="0C94785C"/>
    <w:rsid w:val="0C97466E"/>
    <w:rsid w:val="0CC051C1"/>
    <w:rsid w:val="0D1C03C0"/>
    <w:rsid w:val="0D7B4307"/>
    <w:rsid w:val="0D8C535C"/>
    <w:rsid w:val="0D906017"/>
    <w:rsid w:val="0D914F51"/>
    <w:rsid w:val="0DA2082D"/>
    <w:rsid w:val="0DC573BC"/>
    <w:rsid w:val="0DCF2837"/>
    <w:rsid w:val="0DD1524A"/>
    <w:rsid w:val="0DE201D3"/>
    <w:rsid w:val="0DF208EC"/>
    <w:rsid w:val="0EA36093"/>
    <w:rsid w:val="0EC15643"/>
    <w:rsid w:val="0EEC226B"/>
    <w:rsid w:val="0F747C86"/>
    <w:rsid w:val="0F852E02"/>
    <w:rsid w:val="0FD30983"/>
    <w:rsid w:val="0FF718A6"/>
    <w:rsid w:val="0FFB6025"/>
    <w:rsid w:val="10083C9F"/>
    <w:rsid w:val="10B7034C"/>
    <w:rsid w:val="11046252"/>
    <w:rsid w:val="11130582"/>
    <w:rsid w:val="113F3DEC"/>
    <w:rsid w:val="11624912"/>
    <w:rsid w:val="11A3317D"/>
    <w:rsid w:val="11AB188E"/>
    <w:rsid w:val="11C80FD2"/>
    <w:rsid w:val="12332647"/>
    <w:rsid w:val="12FD2134"/>
    <w:rsid w:val="130265BC"/>
    <w:rsid w:val="130C6ECC"/>
    <w:rsid w:val="134B7CB5"/>
    <w:rsid w:val="135A4A4C"/>
    <w:rsid w:val="13736C4B"/>
    <w:rsid w:val="1382238D"/>
    <w:rsid w:val="13FB42DB"/>
    <w:rsid w:val="143035BA"/>
    <w:rsid w:val="14C41AA0"/>
    <w:rsid w:val="14F642F9"/>
    <w:rsid w:val="1537655C"/>
    <w:rsid w:val="155462C6"/>
    <w:rsid w:val="155C2F18"/>
    <w:rsid w:val="15940D3F"/>
    <w:rsid w:val="15BA32B2"/>
    <w:rsid w:val="15C23F41"/>
    <w:rsid w:val="15EF5D0A"/>
    <w:rsid w:val="1617364B"/>
    <w:rsid w:val="166F4160"/>
    <w:rsid w:val="1696521E"/>
    <w:rsid w:val="169A3446"/>
    <w:rsid w:val="16CE5378"/>
    <w:rsid w:val="17364B70"/>
    <w:rsid w:val="176048E7"/>
    <w:rsid w:val="17636AF8"/>
    <w:rsid w:val="17776A8B"/>
    <w:rsid w:val="177A3B5A"/>
    <w:rsid w:val="178725A8"/>
    <w:rsid w:val="17C2269C"/>
    <w:rsid w:val="17C31108"/>
    <w:rsid w:val="17EE3247"/>
    <w:rsid w:val="180453F5"/>
    <w:rsid w:val="18095983"/>
    <w:rsid w:val="180B4D80"/>
    <w:rsid w:val="1812660D"/>
    <w:rsid w:val="183563D5"/>
    <w:rsid w:val="188126FA"/>
    <w:rsid w:val="188A1105"/>
    <w:rsid w:val="188A3040"/>
    <w:rsid w:val="18AD187A"/>
    <w:rsid w:val="18FD6EB0"/>
    <w:rsid w:val="19231FC9"/>
    <w:rsid w:val="196C36C2"/>
    <w:rsid w:val="199A0D0F"/>
    <w:rsid w:val="19DC4FFB"/>
    <w:rsid w:val="19E70E0E"/>
    <w:rsid w:val="1A001012"/>
    <w:rsid w:val="1A9D2DFB"/>
    <w:rsid w:val="1AAF5F88"/>
    <w:rsid w:val="1AD269B7"/>
    <w:rsid w:val="1B4F70DB"/>
    <w:rsid w:val="1B6E7990"/>
    <w:rsid w:val="1B85036C"/>
    <w:rsid w:val="1BA76221"/>
    <w:rsid w:val="1BC46583"/>
    <w:rsid w:val="1C4C5CF9"/>
    <w:rsid w:val="1C5E6390"/>
    <w:rsid w:val="1C9828F5"/>
    <w:rsid w:val="1C9A167C"/>
    <w:rsid w:val="1CA51CE8"/>
    <w:rsid w:val="1CBC79A9"/>
    <w:rsid w:val="1CDB5968"/>
    <w:rsid w:val="1CE85325"/>
    <w:rsid w:val="1D1F3AD3"/>
    <w:rsid w:val="1D3B3A62"/>
    <w:rsid w:val="1D8D2F01"/>
    <w:rsid w:val="1DAC27BE"/>
    <w:rsid w:val="1DAC2BE5"/>
    <w:rsid w:val="1DEC08F8"/>
    <w:rsid w:val="1E4538B6"/>
    <w:rsid w:val="1E480D33"/>
    <w:rsid w:val="1E8A0B27"/>
    <w:rsid w:val="1E902568"/>
    <w:rsid w:val="1EEB78C7"/>
    <w:rsid w:val="1F63408D"/>
    <w:rsid w:val="1F7222FA"/>
    <w:rsid w:val="1FC30874"/>
    <w:rsid w:val="200D4526"/>
    <w:rsid w:val="202D6FD9"/>
    <w:rsid w:val="2046687E"/>
    <w:rsid w:val="20531999"/>
    <w:rsid w:val="20901F59"/>
    <w:rsid w:val="20A11AB0"/>
    <w:rsid w:val="20A34A1A"/>
    <w:rsid w:val="20B72208"/>
    <w:rsid w:val="20EC6113"/>
    <w:rsid w:val="20EE004B"/>
    <w:rsid w:val="21571F96"/>
    <w:rsid w:val="21824E7B"/>
    <w:rsid w:val="21B76116"/>
    <w:rsid w:val="22054661"/>
    <w:rsid w:val="220C3FEC"/>
    <w:rsid w:val="221D1702"/>
    <w:rsid w:val="226E5336"/>
    <w:rsid w:val="22C16F92"/>
    <w:rsid w:val="22E55ECD"/>
    <w:rsid w:val="22E57D9C"/>
    <w:rsid w:val="22FD3574"/>
    <w:rsid w:val="230A3782"/>
    <w:rsid w:val="23681EC9"/>
    <w:rsid w:val="23761926"/>
    <w:rsid w:val="238C7960"/>
    <w:rsid w:val="23CC7EC0"/>
    <w:rsid w:val="24051BA8"/>
    <w:rsid w:val="24553B0C"/>
    <w:rsid w:val="2482485F"/>
    <w:rsid w:val="249F6523"/>
    <w:rsid w:val="258724D7"/>
    <w:rsid w:val="25893F23"/>
    <w:rsid w:val="25B06DFF"/>
    <w:rsid w:val="25F51053"/>
    <w:rsid w:val="2601616B"/>
    <w:rsid w:val="263F3343"/>
    <w:rsid w:val="26E61C61"/>
    <w:rsid w:val="27114CA3"/>
    <w:rsid w:val="27511310"/>
    <w:rsid w:val="2759091B"/>
    <w:rsid w:val="275F2824"/>
    <w:rsid w:val="27615D27"/>
    <w:rsid w:val="27BF73C5"/>
    <w:rsid w:val="27D150E1"/>
    <w:rsid w:val="2810445B"/>
    <w:rsid w:val="28165655"/>
    <w:rsid w:val="28175856"/>
    <w:rsid w:val="281D775F"/>
    <w:rsid w:val="28275AF0"/>
    <w:rsid w:val="28854AD1"/>
    <w:rsid w:val="28A563BE"/>
    <w:rsid w:val="28AD7F47"/>
    <w:rsid w:val="28D44C9D"/>
    <w:rsid w:val="28DE3F9A"/>
    <w:rsid w:val="28DF4092"/>
    <w:rsid w:val="291B3DFF"/>
    <w:rsid w:val="29215D08"/>
    <w:rsid w:val="293D1DB5"/>
    <w:rsid w:val="29627BC5"/>
    <w:rsid w:val="29645895"/>
    <w:rsid w:val="29803BD3"/>
    <w:rsid w:val="298E633C"/>
    <w:rsid w:val="29B77500"/>
    <w:rsid w:val="29E4170D"/>
    <w:rsid w:val="29EF6EF2"/>
    <w:rsid w:val="29F67C23"/>
    <w:rsid w:val="2A2420B3"/>
    <w:rsid w:val="2A583806"/>
    <w:rsid w:val="2A9E145A"/>
    <w:rsid w:val="2AB22C1B"/>
    <w:rsid w:val="2AF46F08"/>
    <w:rsid w:val="2B1D6992"/>
    <w:rsid w:val="2BB4773C"/>
    <w:rsid w:val="2BCE466D"/>
    <w:rsid w:val="2C1E78EF"/>
    <w:rsid w:val="2C2262F5"/>
    <w:rsid w:val="2C300E8E"/>
    <w:rsid w:val="2C5113C3"/>
    <w:rsid w:val="2C7B2207"/>
    <w:rsid w:val="2CAC1213"/>
    <w:rsid w:val="2CC77187"/>
    <w:rsid w:val="2DA66471"/>
    <w:rsid w:val="2DD16E0D"/>
    <w:rsid w:val="2E402DEC"/>
    <w:rsid w:val="2E8344C8"/>
    <w:rsid w:val="2EA81517"/>
    <w:rsid w:val="2ECF17F7"/>
    <w:rsid w:val="2EFD67E8"/>
    <w:rsid w:val="2EFE1C75"/>
    <w:rsid w:val="2EFF57A9"/>
    <w:rsid w:val="2F1F05DC"/>
    <w:rsid w:val="2F3D44F7"/>
    <w:rsid w:val="2FAE604C"/>
    <w:rsid w:val="2FB9045A"/>
    <w:rsid w:val="2FE616C0"/>
    <w:rsid w:val="30191835"/>
    <w:rsid w:val="30A91F61"/>
    <w:rsid w:val="3105267B"/>
    <w:rsid w:val="314C4FED"/>
    <w:rsid w:val="317C583F"/>
    <w:rsid w:val="31863ECE"/>
    <w:rsid w:val="31BB6926"/>
    <w:rsid w:val="31E569A9"/>
    <w:rsid w:val="320831A2"/>
    <w:rsid w:val="320E092F"/>
    <w:rsid w:val="3261245E"/>
    <w:rsid w:val="32A233A1"/>
    <w:rsid w:val="333124C1"/>
    <w:rsid w:val="33421C25"/>
    <w:rsid w:val="33995EB7"/>
    <w:rsid w:val="33A63DAB"/>
    <w:rsid w:val="33B00F80"/>
    <w:rsid w:val="33D37459"/>
    <w:rsid w:val="34413D46"/>
    <w:rsid w:val="34643001"/>
    <w:rsid w:val="349E40E0"/>
    <w:rsid w:val="349E665E"/>
    <w:rsid w:val="34DB1112"/>
    <w:rsid w:val="351C3576"/>
    <w:rsid w:val="358024D4"/>
    <w:rsid w:val="35AF0C16"/>
    <w:rsid w:val="35E129CB"/>
    <w:rsid w:val="35FE0421"/>
    <w:rsid w:val="35FE2DA3"/>
    <w:rsid w:val="36231CDE"/>
    <w:rsid w:val="36561233"/>
    <w:rsid w:val="366208C9"/>
    <w:rsid w:val="368564FF"/>
    <w:rsid w:val="369A2C21"/>
    <w:rsid w:val="36D76309"/>
    <w:rsid w:val="37421261"/>
    <w:rsid w:val="37617FCF"/>
    <w:rsid w:val="3794799E"/>
    <w:rsid w:val="37AC3905"/>
    <w:rsid w:val="37BA37BC"/>
    <w:rsid w:val="37C75C12"/>
    <w:rsid w:val="37CD7B1B"/>
    <w:rsid w:val="37D00A9F"/>
    <w:rsid w:val="37FA18E4"/>
    <w:rsid w:val="389926E7"/>
    <w:rsid w:val="38C12712"/>
    <w:rsid w:val="39324E64"/>
    <w:rsid w:val="393265FA"/>
    <w:rsid w:val="3936386A"/>
    <w:rsid w:val="39485B02"/>
    <w:rsid w:val="39635633"/>
    <w:rsid w:val="39702742"/>
    <w:rsid w:val="3981700C"/>
    <w:rsid w:val="39C87543"/>
    <w:rsid w:val="3A2F68BD"/>
    <w:rsid w:val="3AAA11CD"/>
    <w:rsid w:val="3AF060BE"/>
    <w:rsid w:val="3B266E9D"/>
    <w:rsid w:val="3B7B22CC"/>
    <w:rsid w:val="3B7F24AA"/>
    <w:rsid w:val="3B9A4359"/>
    <w:rsid w:val="3BF511EF"/>
    <w:rsid w:val="3C2760B3"/>
    <w:rsid w:val="3C2B1D49"/>
    <w:rsid w:val="3C876732"/>
    <w:rsid w:val="3C8D4BE6"/>
    <w:rsid w:val="3CCC59CF"/>
    <w:rsid w:val="3D07322A"/>
    <w:rsid w:val="3D133F53"/>
    <w:rsid w:val="3D407F0C"/>
    <w:rsid w:val="3D6830C4"/>
    <w:rsid w:val="3D9C1356"/>
    <w:rsid w:val="3DC36006"/>
    <w:rsid w:val="3E640997"/>
    <w:rsid w:val="3EB819BC"/>
    <w:rsid w:val="3EDC58F6"/>
    <w:rsid w:val="3EEF1AD2"/>
    <w:rsid w:val="3F2E3292"/>
    <w:rsid w:val="3F890D4B"/>
    <w:rsid w:val="3F9B62FD"/>
    <w:rsid w:val="3FBB1942"/>
    <w:rsid w:val="3FE40160"/>
    <w:rsid w:val="401B2838"/>
    <w:rsid w:val="40425F7B"/>
    <w:rsid w:val="4057146E"/>
    <w:rsid w:val="405939A2"/>
    <w:rsid w:val="40830F63"/>
    <w:rsid w:val="40D432EC"/>
    <w:rsid w:val="40DC30EE"/>
    <w:rsid w:val="40F819A3"/>
    <w:rsid w:val="4141261B"/>
    <w:rsid w:val="414C642D"/>
    <w:rsid w:val="41905C1D"/>
    <w:rsid w:val="41A13939"/>
    <w:rsid w:val="41B30DBC"/>
    <w:rsid w:val="41BF2EE9"/>
    <w:rsid w:val="41CB46E9"/>
    <w:rsid w:val="41E47950"/>
    <w:rsid w:val="42730227"/>
    <w:rsid w:val="42CD30A6"/>
    <w:rsid w:val="42DD1142"/>
    <w:rsid w:val="42EC5ED9"/>
    <w:rsid w:val="42F6426B"/>
    <w:rsid w:val="42FC6174"/>
    <w:rsid w:val="43572665"/>
    <w:rsid w:val="436E45B0"/>
    <w:rsid w:val="43861D09"/>
    <w:rsid w:val="43B1499E"/>
    <w:rsid w:val="43C83A33"/>
    <w:rsid w:val="4401605A"/>
    <w:rsid w:val="44A2702C"/>
    <w:rsid w:val="44BC6155"/>
    <w:rsid w:val="44BF3856"/>
    <w:rsid w:val="44D3502E"/>
    <w:rsid w:val="44E42450"/>
    <w:rsid w:val="44FD6BBE"/>
    <w:rsid w:val="45300692"/>
    <w:rsid w:val="45864F94"/>
    <w:rsid w:val="45AA0617"/>
    <w:rsid w:val="45B75102"/>
    <w:rsid w:val="460203BC"/>
    <w:rsid w:val="460E4ACA"/>
    <w:rsid w:val="461F7F9A"/>
    <w:rsid w:val="4620554E"/>
    <w:rsid w:val="462C5BD6"/>
    <w:rsid w:val="46367BC0"/>
    <w:rsid w:val="464004CF"/>
    <w:rsid w:val="464469C3"/>
    <w:rsid w:val="467C4AB1"/>
    <w:rsid w:val="47293CD0"/>
    <w:rsid w:val="478D5F73"/>
    <w:rsid w:val="47C34DC8"/>
    <w:rsid w:val="47C64D69"/>
    <w:rsid w:val="48433D7A"/>
    <w:rsid w:val="487E54FB"/>
    <w:rsid w:val="48AF04A1"/>
    <w:rsid w:val="48AF30A8"/>
    <w:rsid w:val="48BB5A04"/>
    <w:rsid w:val="48CD0AFD"/>
    <w:rsid w:val="48E716A7"/>
    <w:rsid w:val="49000053"/>
    <w:rsid w:val="49154775"/>
    <w:rsid w:val="4941303B"/>
    <w:rsid w:val="4954425A"/>
    <w:rsid w:val="495C31A5"/>
    <w:rsid w:val="496C09A5"/>
    <w:rsid w:val="49F0795B"/>
    <w:rsid w:val="4A0707DC"/>
    <w:rsid w:val="4A0B5F87"/>
    <w:rsid w:val="4A154318"/>
    <w:rsid w:val="4A22142F"/>
    <w:rsid w:val="4A2C3F3D"/>
    <w:rsid w:val="4A3316C9"/>
    <w:rsid w:val="4A70372C"/>
    <w:rsid w:val="4ADA02F6"/>
    <w:rsid w:val="4AF667A1"/>
    <w:rsid w:val="4B270CDD"/>
    <w:rsid w:val="4B357FF2"/>
    <w:rsid w:val="4B4E035E"/>
    <w:rsid w:val="4B4F0B9C"/>
    <w:rsid w:val="4B5E7B32"/>
    <w:rsid w:val="4B5F643E"/>
    <w:rsid w:val="4B7E16EB"/>
    <w:rsid w:val="4B917087"/>
    <w:rsid w:val="4BB835B6"/>
    <w:rsid w:val="4BE95517"/>
    <w:rsid w:val="4C33574D"/>
    <w:rsid w:val="4C63431C"/>
    <w:rsid w:val="4C6D57EC"/>
    <w:rsid w:val="4C8F3727"/>
    <w:rsid w:val="4D0363AD"/>
    <w:rsid w:val="4D0619FF"/>
    <w:rsid w:val="4D8507BC"/>
    <w:rsid w:val="4D9A0994"/>
    <w:rsid w:val="4DC20621"/>
    <w:rsid w:val="4DC61225"/>
    <w:rsid w:val="4DE07BD1"/>
    <w:rsid w:val="4E816CDB"/>
    <w:rsid w:val="4F051F32"/>
    <w:rsid w:val="4F522031"/>
    <w:rsid w:val="4F80187B"/>
    <w:rsid w:val="4F8E4414"/>
    <w:rsid w:val="4FA17831"/>
    <w:rsid w:val="4FB94ED8"/>
    <w:rsid w:val="4FDA045F"/>
    <w:rsid w:val="50803722"/>
    <w:rsid w:val="50877A6C"/>
    <w:rsid w:val="50891D2D"/>
    <w:rsid w:val="5098746C"/>
    <w:rsid w:val="50A3118B"/>
    <w:rsid w:val="50C36A0F"/>
    <w:rsid w:val="50CE033F"/>
    <w:rsid w:val="50E23A41"/>
    <w:rsid w:val="50F0440A"/>
    <w:rsid w:val="511E0023"/>
    <w:rsid w:val="512C0A59"/>
    <w:rsid w:val="51427728"/>
    <w:rsid w:val="51597A9B"/>
    <w:rsid w:val="51B5729C"/>
    <w:rsid w:val="51FA6427"/>
    <w:rsid w:val="520738B2"/>
    <w:rsid w:val="52545EA1"/>
    <w:rsid w:val="525E4232"/>
    <w:rsid w:val="52611934"/>
    <w:rsid w:val="52686D40"/>
    <w:rsid w:val="526E64E1"/>
    <w:rsid w:val="52A1019F"/>
    <w:rsid w:val="52D82877"/>
    <w:rsid w:val="52E73D22"/>
    <w:rsid w:val="52EC2D03"/>
    <w:rsid w:val="530C7BB5"/>
    <w:rsid w:val="53213033"/>
    <w:rsid w:val="5328717E"/>
    <w:rsid w:val="532F62A8"/>
    <w:rsid w:val="534D06B4"/>
    <w:rsid w:val="534F4E11"/>
    <w:rsid w:val="53654EFF"/>
    <w:rsid w:val="537B3642"/>
    <w:rsid w:val="537F2FC7"/>
    <w:rsid w:val="53AA52E3"/>
    <w:rsid w:val="53C01DE8"/>
    <w:rsid w:val="53C9440B"/>
    <w:rsid w:val="53E20B6E"/>
    <w:rsid w:val="54032364"/>
    <w:rsid w:val="540909EB"/>
    <w:rsid w:val="5454111A"/>
    <w:rsid w:val="54684287"/>
    <w:rsid w:val="550B05D6"/>
    <w:rsid w:val="55122522"/>
    <w:rsid w:val="554B00FD"/>
    <w:rsid w:val="558E59C5"/>
    <w:rsid w:val="559F40AD"/>
    <w:rsid w:val="55B7742C"/>
    <w:rsid w:val="55F62501"/>
    <w:rsid w:val="56006CBD"/>
    <w:rsid w:val="56242DB2"/>
    <w:rsid w:val="562B0E5B"/>
    <w:rsid w:val="56313B8B"/>
    <w:rsid w:val="56737EF9"/>
    <w:rsid w:val="56C97D2A"/>
    <w:rsid w:val="57260908"/>
    <w:rsid w:val="583C46C3"/>
    <w:rsid w:val="58664B17"/>
    <w:rsid w:val="590B4042"/>
    <w:rsid w:val="59114FB0"/>
    <w:rsid w:val="592B1245"/>
    <w:rsid w:val="59433201"/>
    <w:rsid w:val="595F092C"/>
    <w:rsid w:val="59656C38"/>
    <w:rsid w:val="59B36D38"/>
    <w:rsid w:val="59BE6718"/>
    <w:rsid w:val="59FD5EB2"/>
    <w:rsid w:val="5A945FE1"/>
    <w:rsid w:val="5AB94067"/>
    <w:rsid w:val="5AD1390C"/>
    <w:rsid w:val="5AF2428E"/>
    <w:rsid w:val="5AFB17C0"/>
    <w:rsid w:val="5B673C65"/>
    <w:rsid w:val="5B836FB3"/>
    <w:rsid w:val="5BB000E1"/>
    <w:rsid w:val="5BE875A8"/>
    <w:rsid w:val="5C422A2F"/>
    <w:rsid w:val="5C692729"/>
    <w:rsid w:val="5C6D1E50"/>
    <w:rsid w:val="5C8C272D"/>
    <w:rsid w:val="5CC475BF"/>
    <w:rsid w:val="5CC62AC2"/>
    <w:rsid w:val="5CDE5F6B"/>
    <w:rsid w:val="5D207CD9"/>
    <w:rsid w:val="5D211ED7"/>
    <w:rsid w:val="5D4362C1"/>
    <w:rsid w:val="5D7F5DD7"/>
    <w:rsid w:val="5D946993"/>
    <w:rsid w:val="5DA96938"/>
    <w:rsid w:val="5DE271F3"/>
    <w:rsid w:val="5DFC0B37"/>
    <w:rsid w:val="5DFD6972"/>
    <w:rsid w:val="5E142764"/>
    <w:rsid w:val="5EAD1F71"/>
    <w:rsid w:val="5EB21369"/>
    <w:rsid w:val="5EE842C4"/>
    <w:rsid w:val="5EFF5265"/>
    <w:rsid w:val="5F0C4760"/>
    <w:rsid w:val="5F2361A5"/>
    <w:rsid w:val="5F25254F"/>
    <w:rsid w:val="5F3C12CD"/>
    <w:rsid w:val="5F777E2D"/>
    <w:rsid w:val="5F8116DF"/>
    <w:rsid w:val="5F9573DD"/>
    <w:rsid w:val="5F9F7CED"/>
    <w:rsid w:val="5FB85324"/>
    <w:rsid w:val="5FC24A29"/>
    <w:rsid w:val="5FFD5B08"/>
    <w:rsid w:val="600F7B2E"/>
    <w:rsid w:val="6030554B"/>
    <w:rsid w:val="60423F87"/>
    <w:rsid w:val="604C110A"/>
    <w:rsid w:val="60507B10"/>
    <w:rsid w:val="605C13A4"/>
    <w:rsid w:val="605E7463"/>
    <w:rsid w:val="60767D50"/>
    <w:rsid w:val="60805DB4"/>
    <w:rsid w:val="60D931D8"/>
    <w:rsid w:val="610D6FCA"/>
    <w:rsid w:val="611C17E3"/>
    <w:rsid w:val="612D1A7D"/>
    <w:rsid w:val="612E74FF"/>
    <w:rsid w:val="61946EA3"/>
    <w:rsid w:val="619501A8"/>
    <w:rsid w:val="61C4248D"/>
    <w:rsid w:val="61D31386"/>
    <w:rsid w:val="63983C0C"/>
    <w:rsid w:val="63AD0817"/>
    <w:rsid w:val="63B36E9D"/>
    <w:rsid w:val="6444420E"/>
    <w:rsid w:val="64561F2A"/>
    <w:rsid w:val="646060BC"/>
    <w:rsid w:val="64725FD6"/>
    <w:rsid w:val="64A5552C"/>
    <w:rsid w:val="64B322C3"/>
    <w:rsid w:val="64D72281"/>
    <w:rsid w:val="654B153D"/>
    <w:rsid w:val="65975DB9"/>
    <w:rsid w:val="65A11F4C"/>
    <w:rsid w:val="65BF0083"/>
    <w:rsid w:val="66127C81"/>
    <w:rsid w:val="66A164FD"/>
    <w:rsid w:val="66C023A3"/>
    <w:rsid w:val="66C303CC"/>
    <w:rsid w:val="67380005"/>
    <w:rsid w:val="67487CFE"/>
    <w:rsid w:val="674D3907"/>
    <w:rsid w:val="67650933"/>
    <w:rsid w:val="67693AB6"/>
    <w:rsid w:val="67731E47"/>
    <w:rsid w:val="67A44560"/>
    <w:rsid w:val="67E81E06"/>
    <w:rsid w:val="67F22715"/>
    <w:rsid w:val="688F2246"/>
    <w:rsid w:val="68981FA9"/>
    <w:rsid w:val="693A17B3"/>
    <w:rsid w:val="694950B2"/>
    <w:rsid w:val="694D731F"/>
    <w:rsid w:val="69C9143A"/>
    <w:rsid w:val="69D4612E"/>
    <w:rsid w:val="69E90652"/>
    <w:rsid w:val="69FD4F9F"/>
    <w:rsid w:val="6A48066B"/>
    <w:rsid w:val="6A4F0A33"/>
    <w:rsid w:val="6A752434"/>
    <w:rsid w:val="6A9F68FE"/>
    <w:rsid w:val="6AC534B8"/>
    <w:rsid w:val="6AC60F39"/>
    <w:rsid w:val="6ACE6346"/>
    <w:rsid w:val="6AE22B88"/>
    <w:rsid w:val="6B0A61AB"/>
    <w:rsid w:val="6B177A3F"/>
    <w:rsid w:val="6B40098D"/>
    <w:rsid w:val="6B665D8D"/>
    <w:rsid w:val="6BDA0E02"/>
    <w:rsid w:val="6BE317C6"/>
    <w:rsid w:val="6BE62696"/>
    <w:rsid w:val="6C030941"/>
    <w:rsid w:val="6C2B298A"/>
    <w:rsid w:val="6C3A079D"/>
    <w:rsid w:val="6C546C95"/>
    <w:rsid w:val="6C9F7F81"/>
    <w:rsid w:val="6D1B417D"/>
    <w:rsid w:val="6D4270CF"/>
    <w:rsid w:val="6DA85D2B"/>
    <w:rsid w:val="6DFA687D"/>
    <w:rsid w:val="6E2B704C"/>
    <w:rsid w:val="6E9375A1"/>
    <w:rsid w:val="6EE874C4"/>
    <w:rsid w:val="6F4668FB"/>
    <w:rsid w:val="6F873A86"/>
    <w:rsid w:val="6FCF76FD"/>
    <w:rsid w:val="6FE67322"/>
    <w:rsid w:val="6FF675BD"/>
    <w:rsid w:val="704354BE"/>
    <w:rsid w:val="7064619C"/>
    <w:rsid w:val="708C3C73"/>
    <w:rsid w:val="70901D3A"/>
    <w:rsid w:val="70A409DA"/>
    <w:rsid w:val="71080641"/>
    <w:rsid w:val="711E4713"/>
    <w:rsid w:val="7156627F"/>
    <w:rsid w:val="7165689A"/>
    <w:rsid w:val="71770297"/>
    <w:rsid w:val="71D578DE"/>
    <w:rsid w:val="71FD6CA3"/>
    <w:rsid w:val="721708BC"/>
    <w:rsid w:val="723561D0"/>
    <w:rsid w:val="72625139"/>
    <w:rsid w:val="72752E54"/>
    <w:rsid w:val="72DC3AFD"/>
    <w:rsid w:val="73222633"/>
    <w:rsid w:val="737F790A"/>
    <w:rsid w:val="74042F6D"/>
    <w:rsid w:val="742F0F2B"/>
    <w:rsid w:val="746259D4"/>
    <w:rsid w:val="74D015DB"/>
    <w:rsid w:val="754664F5"/>
    <w:rsid w:val="75645FCD"/>
    <w:rsid w:val="7565655C"/>
    <w:rsid w:val="75795053"/>
    <w:rsid w:val="75AD35E1"/>
    <w:rsid w:val="760D23F9"/>
    <w:rsid w:val="762D2F6F"/>
    <w:rsid w:val="763D73C5"/>
    <w:rsid w:val="767F74F6"/>
    <w:rsid w:val="76910A96"/>
    <w:rsid w:val="76A839BC"/>
    <w:rsid w:val="76AA163F"/>
    <w:rsid w:val="76AD4D0C"/>
    <w:rsid w:val="76DB1E0E"/>
    <w:rsid w:val="77181C73"/>
    <w:rsid w:val="77476F3F"/>
    <w:rsid w:val="779F53D0"/>
    <w:rsid w:val="782D769F"/>
    <w:rsid w:val="783C40F1"/>
    <w:rsid w:val="784D67ED"/>
    <w:rsid w:val="78555DF8"/>
    <w:rsid w:val="78736203"/>
    <w:rsid w:val="78BF5AA2"/>
    <w:rsid w:val="78DE02DA"/>
    <w:rsid w:val="78DE6B63"/>
    <w:rsid w:val="78E67C76"/>
    <w:rsid w:val="791C5C34"/>
    <w:rsid w:val="79246A5D"/>
    <w:rsid w:val="792B14B2"/>
    <w:rsid w:val="79326A03"/>
    <w:rsid w:val="793C35BB"/>
    <w:rsid w:val="795246D5"/>
    <w:rsid w:val="796727BD"/>
    <w:rsid w:val="79822FE7"/>
    <w:rsid w:val="79987709"/>
    <w:rsid w:val="79BC316C"/>
    <w:rsid w:val="7A377612"/>
    <w:rsid w:val="7AC66145"/>
    <w:rsid w:val="7AF3437A"/>
    <w:rsid w:val="7B186900"/>
    <w:rsid w:val="7B4E0CBB"/>
    <w:rsid w:val="7B690C89"/>
    <w:rsid w:val="7B707657"/>
    <w:rsid w:val="7B863FD2"/>
    <w:rsid w:val="7BCF062D"/>
    <w:rsid w:val="7BD62F0E"/>
    <w:rsid w:val="7C0C0492"/>
    <w:rsid w:val="7C2C67C8"/>
    <w:rsid w:val="7C376B38"/>
    <w:rsid w:val="7C412EEA"/>
    <w:rsid w:val="7C805752"/>
    <w:rsid w:val="7CC2473D"/>
    <w:rsid w:val="7CC44208"/>
    <w:rsid w:val="7CCE1B8C"/>
    <w:rsid w:val="7CE0015B"/>
    <w:rsid w:val="7D0719AF"/>
    <w:rsid w:val="7D492E7A"/>
    <w:rsid w:val="7D581AD7"/>
    <w:rsid w:val="7D78481D"/>
    <w:rsid w:val="7DAE1EBA"/>
    <w:rsid w:val="7DDC41B4"/>
    <w:rsid w:val="7DF63568"/>
    <w:rsid w:val="7E065CCE"/>
    <w:rsid w:val="7E5F1BE0"/>
    <w:rsid w:val="7E8E441D"/>
    <w:rsid w:val="7E994343"/>
    <w:rsid w:val="7EA52354"/>
    <w:rsid w:val="7EA81866"/>
    <w:rsid w:val="7EA954AC"/>
    <w:rsid w:val="7ECA4B12"/>
    <w:rsid w:val="7ECD5A97"/>
    <w:rsid w:val="7EE47B3C"/>
    <w:rsid w:val="7F001769"/>
    <w:rsid w:val="7F3541C2"/>
    <w:rsid w:val="7F9A60E4"/>
    <w:rsid w:val="7FB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3"/>
    <w:next w:val="1"/>
    <w:link w:val="96"/>
    <w:qFormat/>
    <w:uiPriority w:val="0"/>
    <w:pPr>
      <w:spacing w:before="240" w:after="60"/>
      <w:outlineLvl w:val="1"/>
    </w:pPr>
    <w:rPr>
      <w:rFonts w:eastAsia="MS Mincho"/>
      <w:iCs/>
      <w:kern w:val="0"/>
      <w:sz w:val="20"/>
      <w:szCs w:val="28"/>
    </w:rPr>
  </w:style>
  <w:style w:type="paragraph" w:styleId="5">
    <w:name w:val="heading 3"/>
    <w:basedOn w:val="4"/>
    <w:next w:val="1"/>
    <w:link w:val="97"/>
    <w:qFormat/>
    <w:uiPriority w:val="0"/>
    <w:pPr>
      <w:tabs>
        <w:tab w:val="left" w:pos="-5500"/>
      </w:tabs>
      <w:outlineLvl w:val="2"/>
    </w:pPr>
    <w:rPr>
      <w:sz w:val="26"/>
      <w:szCs w:val="26"/>
      <w:lang w:eastAsia="en-US"/>
    </w:rPr>
  </w:style>
  <w:style w:type="paragraph" w:styleId="6">
    <w:name w:val="heading 4"/>
    <w:basedOn w:val="5"/>
    <w:next w:val="1"/>
    <w:link w:val="98"/>
    <w:qFormat/>
    <w:uiPriority w:val="0"/>
    <w:pPr>
      <w:outlineLvl w:val="3"/>
    </w:pPr>
    <w:rPr>
      <w:rFonts w:ascii="CG Times (WN)" w:hAnsi="CG Times (WN)" w:cs="Times New Roman"/>
      <w:sz w:val="28"/>
      <w:szCs w:val="28"/>
    </w:rPr>
  </w:style>
  <w:style w:type="paragraph" w:styleId="7">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8">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9">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0">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1">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12">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3">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4">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5">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6">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7">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8">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19">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0">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1">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2">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3">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4">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7">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8">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29">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0">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1">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2">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3">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34">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37"/>
    <w:qFormat/>
    <w:uiPriority w:val="0"/>
    <w:pPr>
      <w:numPr>
        <w:ilvl w:val="0"/>
        <w:numId w:val="7"/>
      </w:numPr>
      <w:spacing w:before="180"/>
    </w:pPr>
    <w:rPr>
      <w:rFonts w:ascii="Arial" w:hAnsi="Arial"/>
      <w:sz w:val="22"/>
      <w:szCs w:val="20"/>
    </w:rPr>
  </w:style>
  <w:style w:type="paragraph" w:styleId="37">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8">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9">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0">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1">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2">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3">
    <w:name w:val="toc 5"/>
    <w:basedOn w:val="44"/>
    <w:next w:val="1"/>
    <w:qFormat/>
    <w:uiPriority w:val="0"/>
    <w:pPr>
      <w:tabs>
        <w:tab w:val="right" w:leader="dot" w:pos="9639"/>
      </w:tabs>
      <w:ind w:left="1701" w:hanging="1701"/>
    </w:pPr>
  </w:style>
  <w:style w:type="paragraph" w:styleId="44">
    <w:name w:val="toc 4"/>
    <w:basedOn w:val="45"/>
    <w:next w:val="1"/>
    <w:qFormat/>
    <w:uiPriority w:val="0"/>
    <w:pPr>
      <w:tabs>
        <w:tab w:val="right" w:leader="dot" w:pos="9639"/>
      </w:tabs>
      <w:ind w:left="1418" w:hanging="1418"/>
    </w:pPr>
  </w:style>
  <w:style w:type="paragraph" w:styleId="45">
    <w:name w:val="toc 3"/>
    <w:basedOn w:val="46"/>
    <w:next w:val="1"/>
    <w:qFormat/>
    <w:uiPriority w:val="0"/>
    <w:pPr>
      <w:tabs>
        <w:tab w:val="right" w:leader="dot" w:pos="9639"/>
      </w:tabs>
      <w:ind w:left="1134" w:hanging="1134"/>
    </w:pPr>
  </w:style>
  <w:style w:type="paragraph" w:styleId="46">
    <w:name w:val="toc 2"/>
    <w:basedOn w:val="47"/>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8">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49">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0">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1">
    <w:name w:val="toc 8"/>
    <w:basedOn w:val="47"/>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3">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4">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5">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6">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7">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8">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1">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3"/>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1"/>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7"/>
    <w:next w:val="27"/>
    <w:link w:val="133"/>
    <w:qFormat/>
    <w:uiPriority w:val="0"/>
    <w:rPr>
      <w:b/>
      <w:bCs/>
    </w:rPr>
  </w:style>
  <w:style w:type="paragraph" w:styleId="84">
    <w:name w:val="Body Text First Indent"/>
    <w:basedOn w:val="33"/>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5"/>
    <w:qFormat/>
    <w:uiPriority w:val="0"/>
    <w:pPr>
      <w:spacing w:after="180"/>
      <w:ind w:left="360" w:firstLine="360"/>
    </w:pPr>
  </w:style>
  <w:style w:type="table" w:styleId="87">
    <w:name w:val="Table Grid"/>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4"/>
    <w:qFormat/>
    <w:uiPriority w:val="0"/>
    <w:rPr>
      <w:rFonts w:ascii="Arial" w:hAnsi="Arial" w:eastAsia="MS Mincho" w:cs="Arial"/>
      <w:b/>
      <w:bCs/>
      <w:iCs/>
      <w:kern w:val="0"/>
      <w:sz w:val="20"/>
      <w:szCs w:val="28"/>
    </w:rPr>
  </w:style>
  <w:style w:type="character" w:customStyle="1" w:styleId="97">
    <w:name w:val="标题 3 字符"/>
    <w:basedOn w:val="88"/>
    <w:link w:val="5"/>
    <w:qFormat/>
    <w:uiPriority w:val="0"/>
    <w:rPr>
      <w:rFonts w:ascii="Arial" w:hAnsi="Arial" w:eastAsia="MS Mincho" w:cs="Arial"/>
      <w:bCs/>
      <w:kern w:val="0"/>
      <w:sz w:val="26"/>
      <w:szCs w:val="26"/>
      <w:lang w:eastAsia="en-US"/>
    </w:rPr>
  </w:style>
  <w:style w:type="character" w:customStyle="1" w:styleId="98">
    <w:name w:val="标题 4 字符"/>
    <w:basedOn w:val="88"/>
    <w:link w:val="6"/>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7"/>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8"/>
    <w:qFormat/>
    <w:uiPriority w:val="0"/>
    <w:rPr>
      <w:rFonts w:ascii="Arial" w:hAnsi="Arial" w:eastAsia="黑体" w:cs="Times New Roman"/>
      <w:b/>
      <w:bCs/>
      <w:kern w:val="0"/>
      <w:sz w:val="24"/>
      <w:szCs w:val="24"/>
      <w:lang w:eastAsia="en-US"/>
    </w:rPr>
  </w:style>
  <w:style w:type="character" w:customStyle="1" w:styleId="101">
    <w:name w:val="标题 7 字符"/>
    <w:basedOn w:val="88"/>
    <w:link w:val="9"/>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0"/>
    <w:qFormat/>
    <w:uiPriority w:val="0"/>
    <w:rPr>
      <w:rFonts w:ascii="Arial" w:hAnsi="Arial" w:eastAsia="黑体" w:cs="Times New Roman"/>
      <w:kern w:val="0"/>
      <w:sz w:val="24"/>
      <w:szCs w:val="24"/>
      <w:lang w:eastAsia="en-US"/>
    </w:rPr>
  </w:style>
  <w:style w:type="character" w:customStyle="1" w:styleId="103">
    <w:name w:val="标题 9 字符"/>
    <w:basedOn w:val="88"/>
    <w:link w:val="11"/>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33"/>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6"/>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19"/>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5"/>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6"/>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29"/>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0"/>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1"/>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1"/>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8"/>
    <w:qFormat/>
    <w:uiPriority w:val="0"/>
    <w:rPr>
      <w:rFonts w:ascii="Consolas" w:hAnsi="Consolas" w:eastAsia="MS Mincho" w:cs="Times New Roman"/>
      <w:kern w:val="0"/>
      <w:szCs w:val="21"/>
      <w:lang w:val="en-GB" w:eastAsia="en-US"/>
    </w:rPr>
  </w:style>
  <w:style w:type="character" w:customStyle="1" w:styleId="118">
    <w:name w:val="日期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7"/>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8"/>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59"/>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60"/>
    <w:qFormat/>
    <w:uiPriority w:val="0"/>
    <w:rPr>
      <w:rFonts w:ascii="Arial" w:hAnsi="Arial" w:eastAsia="MS Mincho" w:cs="Times New Roman"/>
      <w:b/>
      <w:kern w:val="0"/>
      <w:sz w:val="20"/>
      <w:szCs w:val="24"/>
      <w:lang w:eastAsia="en-US"/>
    </w:rPr>
  </w:style>
  <w:style w:type="character" w:customStyle="1" w:styleId="125">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37"/>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6"/>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2"/>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7"/>
    <w:qFormat/>
    <w:uiPriority w:val="0"/>
    <w:rPr>
      <w:rFonts w:ascii="CG Times (WN)" w:hAnsi="CG Times (WN)" w:eastAsia="Times New Roman" w:cs="Times New Roman"/>
      <w:kern w:val="0"/>
      <w:sz w:val="20"/>
      <w:szCs w:val="24"/>
      <w:lang w:eastAsia="en-US"/>
    </w:rPr>
  </w:style>
  <w:style w:type="character" w:customStyle="1" w:styleId="155">
    <w:name w:val="列出段落 字符"/>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33"/>
    <w:qFormat/>
    <w:uiPriority w:val="0"/>
    <w:pPr>
      <w:numPr>
        <w:ilvl w:val="0"/>
        <w:numId w:val="13"/>
      </w:numPr>
      <w:tabs>
        <w:tab w:val="left" w:pos="1701"/>
        <w:tab w:val="clear" w:pos="1304"/>
      </w:tabs>
      <w:overflowPunct w:val="0"/>
      <w:autoSpaceDE w:val="0"/>
      <w:autoSpaceDN w:val="0"/>
      <w:adjustRightInd w:val="0"/>
      <w:ind w:left="1701" w:hanging="1701"/>
      <w:textAlignment w:val="baseline"/>
    </w:pPr>
    <w:rPr>
      <w:rFonts w:ascii="Arial" w:hAnsi="Arial" w:eastAsia="宋体"/>
      <w:b/>
      <w:bCs/>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6">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szCs w:val="24"/>
      <w:lang w:val="en-US" w:eastAsia="en-US" w:bidi="ar-SA"/>
    </w:rPr>
  </w:style>
  <w:style w:type="paragraph" w:customStyle="1" w:styleId="179">
    <w:name w:val="Tdoc_Heading_1"/>
    <w:basedOn w:val="3"/>
    <w:next w:val="33"/>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33"/>
    <w:next w:val="33"/>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30">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39"/>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basedOn w:val="1"/>
    <w:qFormat/>
    <w:uiPriority w:val="1"/>
    <w:rPr>
      <w:rFonts w:ascii="Times New Roman" w:hAnsi="Times New Roman" w:eastAsia="MS Mincho" w:cs="Times New Roman"/>
      <w:kern w:val="0"/>
      <w:sz w:val="20"/>
      <w:szCs w:val="20"/>
      <w:lang w:val="en-GB" w:eastAsia="en-US"/>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修订2"/>
    <w:hidden/>
    <w:semiHidden/>
    <w:qFormat/>
    <w:uiPriority w:val="99"/>
    <w:rPr>
      <w:rFonts w:ascii="CG Times (WN)" w:hAnsi="CG Times (WN)" w:eastAsia="Times New Roman" w:cs="Times New Roman"/>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oc-title"/>
    <w:basedOn w:val="1"/>
    <w:next w:val="194"/>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7AD82140-34AA-40DB-ACBD-229057185EA5}">
  <ds:schemaRefs/>
</ds:datastoreItem>
</file>

<file path=customXml/itemProps2.xml><?xml version="1.0" encoding="utf-8"?>
<ds:datastoreItem xmlns:ds="http://schemas.openxmlformats.org/officeDocument/2006/customXml" ds:itemID="{0BED3E8F-CD85-4A03-9AA4-86A357A2D89D}">
  <ds:schemaRefs/>
</ds:datastoreItem>
</file>

<file path=customXml/itemProps3.xml><?xml version="1.0" encoding="utf-8"?>
<ds:datastoreItem xmlns:ds="http://schemas.openxmlformats.org/officeDocument/2006/customXml" ds:itemID="{44D627ED-5ECB-4287-A907-7A03DB4CA30B}">
  <ds:schemaRefs/>
</ds:datastoreItem>
</file>

<file path=customXml/itemProps4.xml><?xml version="1.0" encoding="utf-8"?>
<ds:datastoreItem xmlns:ds="http://schemas.openxmlformats.org/officeDocument/2006/customXml" ds:itemID="{62B3730A-21DD-4164-A6B8-1B0DEE774B52}">
  <ds:schemaRefs/>
</ds:datastoreItem>
</file>

<file path=docProps/app.xml><?xml version="1.0" encoding="utf-8"?>
<Properties xmlns="http://schemas.openxmlformats.org/officeDocument/2006/extended-properties" xmlns:vt="http://schemas.openxmlformats.org/officeDocument/2006/docPropsVTypes">
  <Template>Normal</Template>
  <Pages>3</Pages>
  <Words>990</Words>
  <Characters>5643</Characters>
  <Lines>47</Lines>
  <Paragraphs>13</Paragraphs>
  <TotalTime>0</TotalTime>
  <ScaleCrop>false</ScaleCrop>
  <LinksUpToDate>false</LinksUpToDate>
  <CharactersWithSpaces>6620</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2025-03-28T00:48:00Z</dcterms:created>
  <dc:creator>Kai Wu(vivo)</dc:creator>
  <cp:lastModifiedBy>HP</cp:lastModifiedBy>
  <dcterms:modified xsi:type="dcterms:W3CDTF">2025-11-06T08:36:16Z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DB340907082444D1A10F98FD760CF2DA_13</vt:lpwstr>
  </property>
</Properties>
</file>